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A7F8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</w:pPr>
    </w:p>
    <w:p w14:paraId="4B4990EF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1153AD59">
      <w:pPr>
        <w:pageBreakBefore w:val="0"/>
        <w:widowControl w:val="0"/>
        <w:kinsoku/>
        <w:wordWrap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E484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豫建</w:t>
      </w: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" w:hAnsi="仿宋" w:eastAsia="仿宋" w:cs="仿宋"/>
          <w:sz w:val="32"/>
          <w:szCs w:val="32"/>
          <w:lang w:bidi="ar"/>
        </w:rPr>
        <w:t>协〔202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号</w:t>
      </w:r>
    </w:p>
    <w:p w14:paraId="2A4C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 w14:paraId="5408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62336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rNlltYAAAAHAQAADwAAAAAAAAABACAAAAAiAAAAZHJzL2Rvd25yZXYueG1s&#10;UEsBAhQAFAAAAAgAh07iQGBFt/T6AQAA9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5C4B9ED">
      <w:pPr>
        <w:pStyle w:val="15"/>
        <w:widowControl/>
      </w:pPr>
      <mc:AlternateContent>
        <mc:Choice Requires="wpsCustomData">
          <wpsCustomData:docfieldStart id="0" docfieldname="标题_1" hidden="0" print="1" readonly="0" index="5"/>
        </mc:Choice>
      </mc:AlternateContent>
      <w:r>
        <w:t>关于征集2026年团体标准项目的通知</w:t>
      </w:r>
      <mc:AlternateContent>
        <mc:Choice Requires="wpsCustomData">
          <wpsCustomData:docfieldEnd id="0"/>
        </mc:Choice>
      </mc:AlternateContent>
    </w:p>
    <w:p w14:paraId="5898CE28">
      <w:pPr>
        <w:pStyle w:val="11"/>
        <w:bidi w:val="0"/>
        <w:spacing w:beforeAutospacing="0" w:afterAutospacing="0" w:line="300" w:lineRule="exact"/>
      </w:pPr>
    </w:p>
    <w:p w14:paraId="1C998FD8">
      <w:pPr>
        <w:pStyle w:val="11"/>
        <w:bidi w:val="0"/>
        <w:spacing w:beforeAutospacing="0" w:afterAutospacing="0" w:line="300" w:lineRule="exact"/>
      </w:pPr>
    </w:p>
    <w:p w14:paraId="416A1CB6">
      <w:pPr>
        <w:pStyle w:val="21"/>
        <w:widowControl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3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各会员单位、分支机构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4085CC3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为深入贯彻《国家标准化发展纲要》，落实协会2026年工作要点，聚焦绿色建筑、智能建造、城市更新、工程质量检测、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工程质量安全鉴定及预拌混凝土企业生产等领域，加快填补行业标准空白，推动我省建设工程质量检测行业高质量发展，根据《河南省建</w:t>
      </w:r>
      <w:r>
        <w:rPr>
          <w:rFonts w:ascii="Times New Roman" w:hAnsi="Times New Roman" w:eastAsia="仿宋_GB2312" w:cs="仿宋_GB2312"/>
          <w:sz w:val="32"/>
          <w:szCs w:val="32"/>
        </w:rPr>
        <w:t>设工程质量监督检测行业协会团体标准管理办法》，现面向全行业公开征集2026年度团体标准制修订项目。有关事项通知如下：</w:t>
      </w:r>
    </w:p>
    <w:p w14:paraId="7A991175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征集原则</w:t>
      </w:r>
    </w:p>
    <w:p w14:paraId="673340D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符合国民经济发展和产业政策的要求，立足我省建设工程质量监督检测行业实际需求，体现我省地域、人文和技术特点，具备可操作性与推广价值。</w:t>
      </w:r>
    </w:p>
    <w:p w14:paraId="4381BC1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对没有国家标准、行业标准和地方标准，或相应标准的规定不够具体的领域，需要在我省行业内做出统一技术要求，解决行业共性问题。标准不与法律法规、现行强制性标准冲突，技术要求不低于国家、行业和地方推荐性标准。</w:t>
      </w:r>
    </w:p>
    <w:p w14:paraId="493CB803">
      <w:pPr>
        <w:pStyle w:val="11"/>
        <w:widowControl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聚焦新技术、新工艺、新设备、新材料、新方法，填补标准空白，支撑行业技术创新与成果转化。</w:t>
      </w:r>
    </w:p>
    <w:p w14:paraId="481D54FF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征集方向</w:t>
      </w:r>
    </w:p>
    <w:p w14:paraId="17DF185A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Style w:val="23"/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（一）</w:t>
      </w:r>
      <w:r>
        <w:rPr>
          <w:rStyle w:val="24"/>
        </w:rPr>
        <w:t>工程质量检测与鉴定技术</w:t>
      </w:r>
      <w:r>
        <w:rPr>
          <w:rFonts w:ascii="Times New Roman" w:hAnsi="Times New Roman" w:eastAsia="仿宋_GB2312" w:cs="仿宋_GB2312"/>
          <w:sz w:val="32"/>
          <w:szCs w:val="32"/>
        </w:rPr>
        <w:t>：建筑材料及构配件、主体结构及装饰装修、钢结构、地基基础、建筑节能、建筑幕墙、市政工程材料、道路工程、桥梁及地下工程、工程鉴定、预拌混凝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土</w:t>
      </w:r>
      <w:r>
        <w:rPr>
          <w:rFonts w:ascii="Times New Roman" w:hAnsi="Times New Roman" w:eastAsia="仿宋_GB2312" w:cs="仿宋_GB2312"/>
          <w:sz w:val="32"/>
          <w:szCs w:val="32"/>
        </w:rPr>
        <w:t>企业、消防</w:t>
      </w:r>
      <w:r>
        <w:rPr>
          <w:rStyle w:val="23"/>
          <w:rFonts w:ascii="Times New Roman" w:hAnsi="Times New Roman" w:eastAsia="仿宋_GB2312" w:cs="仿宋_GB2312"/>
          <w:sz w:val="32"/>
          <w:szCs w:val="32"/>
        </w:rPr>
        <w:t>设施、装配式建筑等。</w:t>
      </w:r>
    </w:p>
    <w:p w14:paraId="4BEC6F1F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（二）</w:t>
      </w:r>
      <w:r>
        <w:rPr>
          <w:rStyle w:val="24"/>
        </w:rPr>
        <w:t>质量监督与管理</w:t>
      </w:r>
      <w:r>
        <w:rPr>
          <w:rStyle w:val="23"/>
          <w:rFonts w:ascii="Times New Roman" w:hAnsi="Times New Roman" w:eastAsia="仿宋_GB2312" w:cs="仿宋_GB2312"/>
          <w:sz w:val="32"/>
          <w:szCs w:val="32"/>
        </w:rPr>
        <w:t>：工程质量监督、检测机构管理、预拌混凝土企业生产及管理、信息化系统、检测报告规范、信用评价、</w:t>
      </w:r>
      <w:r>
        <w:rPr>
          <w:rFonts w:ascii="Times New Roman" w:hAnsi="Times New Roman" w:eastAsia="仿宋_GB2312" w:cs="仿宋_GB2312"/>
          <w:sz w:val="32"/>
          <w:szCs w:val="32"/>
        </w:rPr>
        <w:t>人员能力评价等。</w:t>
      </w:r>
    </w:p>
    <w:p w14:paraId="3A5468BD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（三）</w:t>
      </w:r>
      <w:r>
        <w:rPr>
          <w:rStyle w:val="24"/>
        </w:rPr>
        <w:t>新兴领域</w:t>
      </w:r>
      <w:r>
        <w:rPr>
          <w:rFonts w:ascii="Times New Roman" w:hAnsi="Times New Roman" w:eastAsia="仿宋_GB2312" w:cs="仿宋_GB2312"/>
          <w:sz w:val="32"/>
          <w:szCs w:val="32"/>
        </w:rPr>
        <w:t>：城市更新、城市体检、绿色建材、节能降碳、既有建筑改造、海绵城市、智能检测、地下空间工程等。</w:t>
      </w:r>
    </w:p>
    <w:p w14:paraId="393996CA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（四）</w:t>
      </w:r>
      <w:r>
        <w:rPr>
          <w:rFonts w:ascii="Times New Roman" w:hAnsi="Times New Roman" w:eastAsia="仿宋_GB2312" w:cs="仿宋_GB2312"/>
          <w:sz w:val="32"/>
          <w:szCs w:val="32"/>
        </w:rPr>
        <w:t>其他对行业发展有重要支撑作用、亟须规范的项目。</w:t>
      </w:r>
    </w:p>
    <w:p w14:paraId="6EE3A910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申报要求</w:t>
      </w:r>
    </w:p>
    <w:p w14:paraId="253511B4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Style w:val="23"/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（一）</w:t>
      </w:r>
      <w:r>
        <w:rPr>
          <w:rStyle w:val="24"/>
        </w:rPr>
        <w:t>申报主体</w:t>
      </w:r>
      <w:r>
        <w:rPr>
          <w:rStyle w:val="23"/>
          <w:rFonts w:ascii="Times New Roman" w:hAnsi="Times New Roman" w:eastAsia="仿宋_GB2312" w:cs="仿宋_GB2312"/>
          <w:sz w:val="32"/>
          <w:szCs w:val="32"/>
        </w:rPr>
        <w:t>：协会会员单位、检测机构、预拌混凝土企业、科研院所、高校、企业、社会团体等，鼓励产学研用联合申报。</w:t>
      </w:r>
    </w:p>
    <w:p w14:paraId="448CD3D9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（二）</w:t>
      </w:r>
      <w:r>
        <w:rPr>
          <w:rStyle w:val="24"/>
        </w:rPr>
        <w:t>项目基础</w:t>
      </w:r>
      <w:r>
        <w:rPr>
          <w:rFonts w:ascii="Times New Roman" w:hAnsi="Times New Roman" w:eastAsia="仿宋_GB2312" w:cs="仿宋_GB2312"/>
          <w:sz w:val="32"/>
          <w:szCs w:val="32"/>
        </w:rPr>
        <w:t>：申报单位应完成前期调研与技术论证，明确标准必要性、可行性、适用范围、主要技术内容，具备编制能力与经费保障。</w:t>
      </w:r>
    </w:p>
    <w:p w14:paraId="716A02FB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（三）</w:t>
      </w:r>
      <w:r>
        <w:rPr>
          <w:rStyle w:val="24"/>
        </w:rPr>
        <w:t>材料要求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543A346D">
      <w:pPr>
        <w:pStyle w:val="11"/>
        <w:widowControl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（1</w:t>
      </w:r>
      <w:r>
        <w:rPr>
          <w:rFonts w:hint="eastAsia" w:cs="仿宋_GB2312"/>
          <w:sz w:val="32"/>
          <w:szCs w:val="32"/>
          <w:lang w:eastAsia="zh-CN"/>
        </w:rPr>
        <w:t>）《</w:t>
      </w:r>
      <w:r>
        <w:rPr>
          <w:rFonts w:ascii="Times New Roman" w:hAnsi="Times New Roman" w:eastAsia="仿宋_GB2312" w:cs="仿宋_GB2312"/>
          <w:sz w:val="32"/>
          <w:szCs w:val="32"/>
        </w:rPr>
        <w:t>河南省建设工程质量监督检测行业协会团体标准立项申请书》（附件1）；</w:t>
      </w:r>
    </w:p>
    <w:p w14:paraId="2F25A3FB"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pacing wpsCustomData:val="-6" w:val="9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pacing wpsCustomData:val="-6" w:val="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psCustomData:val="-6" w:val="9"/>
          <w:sz w:val="32"/>
          <w:szCs w:val="32"/>
        </w:rPr>
        <w:t>可行性与必要性报告，以及实际应用情况（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如</w:t>
      </w:r>
      <w:r>
        <w:rPr>
          <w:rFonts w:ascii="Times New Roman" w:hAnsi="Times New Roman" w:eastAsia="仿宋_GB2312" w:cs="仿宋_GB2312"/>
          <w:sz w:val="32"/>
          <w:szCs w:val="32"/>
        </w:rPr>
        <w:t>有）等；</w:t>
      </w:r>
    </w:p>
    <w:p w14:paraId="20C7A642"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标准草案（如有）；</w:t>
      </w:r>
    </w:p>
    <w:p w14:paraId="78A8ABE0"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申报单位营业执照、资质证书复印件（加盖公章）；</w:t>
      </w:r>
    </w:p>
    <w:p w14:paraId="122CAFFC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（四）</w:t>
      </w:r>
      <w:r>
        <w:rPr>
          <w:rStyle w:val="24"/>
        </w:rPr>
        <w:t>格式规范</w:t>
      </w:r>
      <w:r>
        <w:rPr>
          <w:rFonts w:ascii="Times New Roman" w:hAnsi="Times New Roman" w:eastAsia="仿宋_GB2312" w:cs="仿宋_GB2312"/>
          <w:sz w:val="32"/>
          <w:szCs w:val="32"/>
        </w:rPr>
        <w:t>：团体标准按照GB／T 1.1－2020《标准化工作导则 第1部分：标准化文件的结构和起草规则》的体例格式要求编写。团体标准涉及专利时应符合GB／T 20003.1－2014《</w:t>
      </w:r>
      <w:r>
        <w:rPr>
          <w:rFonts w:ascii="Times New Roman" w:hAnsi="Times New Roman" w:eastAsia="仿宋_GB2312" w:cs="仿宋_GB2312"/>
          <w:spacing wpsCustomData:val="-6" w:val="-1"/>
          <w:sz w:val="32"/>
          <w:szCs w:val="32"/>
        </w:rPr>
        <w:t>标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准制定的特殊程</w:t>
      </w:r>
      <w:r>
        <w:rPr>
          <w:rFonts w:ascii="Times New Roman" w:hAnsi="Times New Roman" w:eastAsia="仿宋_GB2312" w:cs="仿宋_GB2312"/>
          <w:spacing wpsCustomData:val="-6" w:val="-1"/>
          <w:sz w:val="32"/>
          <w:szCs w:val="32"/>
        </w:rPr>
        <w:t>序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spacing wpsCustomData:val="-6" w:val="-1"/>
          <w:sz w:val="32"/>
          <w:szCs w:val="32"/>
        </w:rPr>
        <w:t>第</w:t>
      </w:r>
      <w:r>
        <w:rPr>
          <w:rFonts w:ascii="Times New Roman" w:hAnsi="Times New Roman" w:eastAsia="仿宋_GB2312" w:cs="仿宋_GB2312"/>
          <w:spacing wpsCustomData:val="-6" w:val="-41"/>
          <w:sz w:val="32"/>
          <w:szCs w:val="32"/>
        </w:rPr>
        <w:t>1</w:t>
      </w:r>
      <w:r>
        <w:rPr>
          <w:rFonts w:ascii="Times New Roman" w:hAnsi="Times New Roman" w:eastAsia="仿宋_GB2312" w:cs="仿宋_GB2312"/>
          <w:spacing wpsCustomData:val="-6" w:val="-1"/>
          <w:sz w:val="32"/>
          <w:szCs w:val="32"/>
        </w:rPr>
        <w:t>部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分</w:t>
      </w:r>
      <w:r>
        <w:rPr>
          <w:rFonts w:ascii="Times New Roman" w:hAnsi="Times New Roman" w:eastAsia="仿宋_GB2312" w:cs="仿宋_GB2312"/>
          <w:spacing wpsCustomData:val="-6" w:val="-1"/>
          <w:sz w:val="32"/>
          <w:szCs w:val="32"/>
        </w:rPr>
        <w:t>：涉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及专利的标</w:t>
      </w:r>
      <w:r>
        <w:rPr>
          <w:rFonts w:ascii="Times New Roman" w:hAnsi="Times New Roman" w:eastAsia="仿宋_GB2312" w:cs="仿宋_GB2312"/>
          <w:spacing wpsCustomData:val="-6" w:val="-1"/>
          <w:sz w:val="32"/>
          <w:szCs w:val="32"/>
        </w:rPr>
        <w:t>准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》</w:t>
      </w:r>
      <w:r>
        <w:rPr>
          <w:rFonts w:ascii="Times New Roman" w:hAnsi="Times New Roman" w:eastAsia="仿宋_GB2312" w:cs="仿宋_GB2312"/>
          <w:spacing wpsCustomData:val="-6" w:val="-1"/>
          <w:sz w:val="32"/>
          <w:szCs w:val="32"/>
        </w:rPr>
        <w:t>的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有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关</w:t>
      </w:r>
      <w:r>
        <w:rPr>
          <w:rFonts w:ascii="Times New Roman" w:hAnsi="Times New Roman" w:eastAsia="仿宋_GB2312" w:cs="仿宋_GB2312"/>
          <w:sz w:val="32"/>
          <w:szCs w:val="32"/>
        </w:rPr>
        <w:t>要求。</w:t>
      </w:r>
    </w:p>
    <w:p w14:paraId="71CDFB73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申报程序</w:t>
      </w:r>
    </w:p>
    <w:p w14:paraId="28129E4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（一）</w:t>
      </w:r>
      <w:r>
        <w:rPr>
          <w:rStyle w:val="24"/>
        </w:rPr>
        <w:t>材料提交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599772FD">
      <w:pPr>
        <w:pStyle w:val="11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电子版：Word版＋盖章PDF版，发送至协会标准化工作邮箱：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  <w:instrText xml:space="preserve"> HYPERLINK "mailto:jcxhhyfwb@163.com" </w:instrText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18"/>
          <w:rFonts w:ascii="Times New Roman" w:hAnsi="Times New Roman" w:eastAsia="仿宋_GB2312" w:cs="仿宋_GB2312"/>
          <w:color w:val="auto"/>
          <w:sz w:val="32"/>
          <w:szCs w:val="32"/>
          <w:u w:val="none"/>
        </w:rPr>
        <w:t>jcxhhyfwb＠163.com</w:t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  <w:fldChar w:fldCharType="end"/>
      </w:r>
    </w:p>
    <w:p w14:paraId="4DA6215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纸质版：一式两份，加盖公章，邮寄至协会秘书处</w:t>
      </w:r>
    </w:p>
    <w:p w14:paraId="40E25E0B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截止时间：2026年5月27日</w:t>
      </w:r>
    </w:p>
    <w:p w14:paraId="1EB3AA7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（二）</w:t>
      </w:r>
      <w:r>
        <w:rPr>
          <w:rStyle w:val="24"/>
        </w:rPr>
        <w:t>评审立项</w:t>
      </w:r>
      <w:r>
        <w:rPr>
          <w:rFonts w:ascii="Times New Roman" w:hAnsi="Times New Roman" w:eastAsia="仿宋_GB2312" w:cs="仿宋_GB2312"/>
          <w:sz w:val="32"/>
          <w:szCs w:val="32"/>
        </w:rPr>
        <w:t>：协会组织专家评审，择优立项并公示，公示无异议后正式下达立项计划。</w:t>
      </w:r>
    </w:p>
    <w:p w14:paraId="42A02A1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4"/>
          <w:rFonts w:hint="eastAsia" w:eastAsia="楷体_GB2312"/>
          <w:lang w:eastAsia="zh-CN"/>
        </w:rPr>
        <w:t>（三）</w:t>
      </w:r>
      <w:r>
        <w:rPr>
          <w:rStyle w:val="24"/>
        </w:rPr>
        <w:t>编制实施</w:t>
      </w:r>
      <w:r>
        <w:rPr>
          <w:rFonts w:ascii="Times New Roman" w:hAnsi="Times New Roman" w:eastAsia="仿宋_GB2312" w:cs="仿宋_GB2312"/>
          <w:sz w:val="32"/>
          <w:szCs w:val="32"/>
        </w:rPr>
        <w:t>：立项项目应在一年内完成征求意见、技术审查、报批发布等工作。</w:t>
      </w:r>
    </w:p>
    <w:p w14:paraId="53D91E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/>
          <w:lang w:eastAsia="zh-CN"/>
        </w:rPr>
        <w:t>（四）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经评定确属优秀的标准，协会将推荐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其作为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省级标准（地方标准）立项上报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。</w:t>
      </w:r>
    </w:p>
    <w:p w14:paraId="67AA55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五、</w:t>
      </w:r>
      <w:r>
        <w:t>联系方式</w:t>
      </w:r>
    </w:p>
    <w:p w14:paraId="6147D4B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联系部门：河南省建设工程质量监督检测行业协会标准化办公室</w:t>
      </w:r>
    </w:p>
    <w:p w14:paraId="6B26309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联系人：吉祥青</w:t>
      </w:r>
    </w:p>
    <w:p w14:paraId="30F48D16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联系电话：15036156088</w:t>
      </w:r>
    </w:p>
    <w:p w14:paraId="09AF8838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地址：河南省郑东新区郑开大道75号建设大厦西塔14楼</w:t>
      </w:r>
      <w:r>
        <w:rPr>
          <w:rFonts w:hint="eastAsia" w:cs="仿宋_GB2312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仿宋_GB2312"/>
          <w:sz w:val="32"/>
          <w:szCs w:val="32"/>
        </w:rPr>
        <w:t>15室</w:t>
      </w:r>
    </w:p>
    <w:p w14:paraId="12D19A33">
      <w:pPr>
        <w:pStyle w:val="11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邮箱：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  <w:instrText xml:space="preserve"> HYPERLINK "mailto:jcxhhyfwb@163.com" </w:instrText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18"/>
          <w:rFonts w:ascii="Times New Roman" w:hAnsi="Times New Roman" w:eastAsia="仿宋_GB2312" w:cs="仿宋_GB2312"/>
          <w:color w:val="auto"/>
          <w:sz w:val="32"/>
          <w:szCs w:val="32"/>
          <w:u w:val="none"/>
        </w:rPr>
        <w:t>jcxhhyfwb＠163.com</w:t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  <w:fldChar w:fldCharType="end"/>
      </w:r>
    </w:p>
    <w:p w14:paraId="49AC617C">
      <w:pPr>
        <w:ind w:firstLine="560" w:firstLineChars="200"/>
        <w:rPr>
          <w:rFonts w:hint="eastAsia"/>
          <w:sz w:val="28"/>
          <w:szCs w:val="36"/>
        </w:rPr>
      </w:pPr>
    </w:p>
    <w:p w14:paraId="4C921EBC">
      <w:pPr>
        <w:ind w:left="1562" w:leftChars="304" w:hanging="924" w:hangingChars="300"/>
        <w:rPr>
          <w:rFonts w:hint="default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附件：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河南省建设工程质量监督检测行业协会标准立项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申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请书</w:t>
      </w:r>
    </w:p>
    <w:p w14:paraId="61167F76">
      <w:pPr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</w:pPr>
    </w:p>
    <w:p w14:paraId="0DBF8C76">
      <w:pPr>
        <w:ind w:firstLine="616" w:firstLineChars="200"/>
        <w:rPr>
          <w:rFonts w:hint="default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689" w:bottom="1440" w:left="1689" w:header="851" w:footer="1417" w:gutter="0"/>
          <w:pgNumType w:fmt="decimal" w:start="1"/>
          <w:cols w:space="425" w:num="1"/>
          <w:docGrid w:type="linesAndChars" w:linePitch="579" w:charSpace="15"/>
        </w:sect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 xml:space="preserve">                             2026年4月16日</w:t>
      </w:r>
    </w:p>
    <w:p w14:paraId="0D23AA89">
      <w:pPr>
        <w:pStyle w:val="22"/>
        <w:widowControl/>
      </w:pPr>
      <mc:AlternateContent>
        <mc:Choice Requires="wpsCustomData">
          <wpsCustomData:docfieldStart id="2" docfieldname="附件_1" hidden="0" print="1" readonly="0" index="1"/>
        </mc:Choice>
      </mc:AlternateContent>
      <w:r>
        <w:t>附件</w:t>
      </w:r>
      <mc:AlternateContent>
        <mc:Choice Requires="wpsCustomData">
          <wpsCustomData:docfieldEnd id="2"/>
        </mc:Choice>
      </mc:AlternateContent>
    </w:p>
    <w:p w14:paraId="4029E493">
      <w:pPr>
        <w:pStyle w:val="15"/>
        <w:widowControl/>
      </w:pPr>
      <w:r>
        <w:t>河南省建设工程质量监督检测行业协会</w:t>
      </w:r>
    </w:p>
    <w:p w14:paraId="20CC649C">
      <w:pPr>
        <w:pStyle w:val="15"/>
        <w:widowControl/>
      </w:pPr>
      <w:r>
        <w:t>标准立项申请书</w:t>
      </w:r>
    </w:p>
    <w:p w14:paraId="0D0C8E2B">
      <w:pPr>
        <w:spacing w:before="297" w:line="219" w:lineRule="auto"/>
        <w:ind w:left="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标准类别</w:t>
      </w:r>
      <w:r>
        <w:rPr>
          <w:rFonts w:ascii="宋体" w:hAnsi="宋体" w:eastAsia="宋体" w:cs="宋体"/>
          <w:spacing w:val="-59"/>
          <w:w w:val="92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59"/>
          <w:w w:val="92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             项目编号：</w:t>
      </w:r>
    </w:p>
    <w:p w14:paraId="540CEE82">
      <w:pPr>
        <w:spacing w:line="68" w:lineRule="exact"/>
      </w:pPr>
    </w:p>
    <w:tbl>
      <w:tblPr>
        <w:tblStyle w:val="19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2126"/>
        <w:gridCol w:w="1240"/>
        <w:gridCol w:w="2952"/>
      </w:tblGrid>
      <w:tr w14:paraId="6266E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Mar>
              <w:left w:w="108" w:type="dxa"/>
              <w:right w:w="108" w:type="dxa"/>
            </w:tcMar>
            <w:vAlign w:val="center"/>
          </w:tcPr>
          <w:p w14:paraId="144EB881">
            <w:pPr>
              <w:pStyle w:val="20"/>
              <w:snapToGrid w:val="0"/>
              <w:spacing w:before="79" w:line="243" w:lineRule="auto"/>
              <w:ind w:left="189" w:right="175"/>
              <w:jc w:val="center"/>
            </w:pPr>
            <w:r>
              <w:rPr>
                <w:rFonts w:hint="eastAsia"/>
                <w:spacing w:val="-7"/>
                <w:lang w:val="en-US" w:eastAsia="zh-CN"/>
              </w:rPr>
              <w:t>标准</w:t>
            </w:r>
            <w:r>
              <w:rPr>
                <w:spacing w:val="-7"/>
              </w:rPr>
              <w:t>名称</w:t>
            </w:r>
          </w:p>
        </w:tc>
        <w:tc>
          <w:tcPr>
            <w:tcW w:w="37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4C90FE4D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  <w:tr w14:paraId="65D13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Mar>
              <w:left w:w="108" w:type="dxa"/>
              <w:right w:w="108" w:type="dxa"/>
            </w:tcMar>
            <w:vAlign w:val="center"/>
          </w:tcPr>
          <w:p w14:paraId="2BE8ED5E">
            <w:pPr>
              <w:pStyle w:val="20"/>
              <w:snapToGrid w:val="0"/>
              <w:spacing w:before="79" w:line="243" w:lineRule="auto"/>
              <w:ind w:left="189" w:right="175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6"/>
                <w:lang w:eastAsia="zh-CN"/>
              </w:rPr>
              <w:t>主编</w:t>
            </w:r>
            <w:r>
              <w:rPr>
                <w:spacing w:val="-6"/>
              </w:rPr>
              <w:t>单位</w:t>
            </w:r>
          </w:p>
        </w:tc>
        <w:tc>
          <w:tcPr>
            <w:tcW w:w="37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290456F0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  <w:tr w14:paraId="07F44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67296">
            <w:pPr>
              <w:pStyle w:val="20"/>
              <w:snapToGrid w:val="0"/>
              <w:spacing w:before="79" w:line="243" w:lineRule="auto"/>
              <w:ind w:left="189" w:leftChars="0" w:right="175" w:rightChars="0"/>
              <w:jc w:val="center"/>
              <w:rPr>
                <w:rFonts w:hint="default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lang w:val="en-US" w:eastAsia="zh-CN"/>
              </w:rPr>
              <w:t>编制类别</w:t>
            </w:r>
          </w:p>
        </w:tc>
        <w:tc>
          <w:tcPr>
            <w:tcW w:w="3707" w:type="pct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16CA5">
            <w:pPr>
              <w:snapToGrid w:val="0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t xml:space="preserve">制订      </w:t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t>修订</w:t>
            </w:r>
            <w:r>
              <w:rPr>
                <w:rFonts w:hint="eastAsia" w:ascii="Arial"/>
                <w:sz w:val="24"/>
                <w:szCs w:val="24"/>
                <w:u w:val="single"/>
                <w:lang w:val="en-US" w:eastAsia="zh-CN"/>
              </w:rPr>
              <w:t xml:space="preserve"> （修订的标准号） </w:t>
            </w:r>
          </w:p>
        </w:tc>
      </w:tr>
      <w:tr w14:paraId="309B4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Mar>
              <w:left w:w="108" w:type="dxa"/>
              <w:right w:w="108" w:type="dxa"/>
            </w:tcMar>
            <w:vAlign w:val="center"/>
          </w:tcPr>
          <w:p w14:paraId="709CD4A7">
            <w:pPr>
              <w:pStyle w:val="20"/>
              <w:snapToGrid w:val="0"/>
              <w:spacing w:before="78"/>
              <w:ind w:left="193" w:right="181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起止时间</w:t>
            </w:r>
          </w:p>
        </w:tc>
        <w:tc>
          <w:tcPr>
            <w:tcW w:w="37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1C99F067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  <w:tr w14:paraId="0AB82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49909E1C">
            <w:pPr>
              <w:pStyle w:val="20"/>
              <w:snapToGrid w:val="0"/>
              <w:spacing w:before="38" w:line="219" w:lineRule="auto"/>
              <w:ind w:left="120"/>
              <w:rPr>
                <w:spacing w:val="-2"/>
              </w:rPr>
            </w:pPr>
            <w:r>
              <w:rPr>
                <w:spacing w:val="-2"/>
              </w:rPr>
              <w:t>项目任务的目的、意义：</w:t>
            </w:r>
          </w:p>
          <w:p w14:paraId="572C5189">
            <w:pPr>
              <w:pStyle w:val="20"/>
              <w:snapToGrid w:val="0"/>
              <w:spacing w:before="38" w:line="219" w:lineRule="auto"/>
              <w:ind w:left="120"/>
              <w:rPr>
                <w:spacing w:val="-2"/>
              </w:rPr>
            </w:pPr>
          </w:p>
          <w:p w14:paraId="1E397B59">
            <w:pPr>
              <w:pStyle w:val="20"/>
              <w:snapToGrid w:val="0"/>
              <w:spacing w:before="38" w:line="219" w:lineRule="auto"/>
              <w:ind w:left="120"/>
              <w:rPr>
                <w:spacing w:val="-2"/>
              </w:rPr>
            </w:pPr>
          </w:p>
          <w:p w14:paraId="4DEBBB91">
            <w:pPr>
              <w:pStyle w:val="20"/>
              <w:snapToGrid w:val="0"/>
              <w:spacing w:before="38" w:line="219" w:lineRule="auto"/>
              <w:ind w:left="120"/>
              <w:rPr>
                <w:spacing w:val="-2"/>
              </w:rPr>
            </w:pPr>
          </w:p>
          <w:p w14:paraId="27A3072B">
            <w:pPr>
              <w:pStyle w:val="20"/>
              <w:snapToGrid w:val="0"/>
              <w:spacing w:before="38" w:line="219" w:lineRule="auto"/>
              <w:ind w:left="120"/>
              <w:rPr>
                <w:spacing w:val="-2"/>
              </w:rPr>
            </w:pPr>
          </w:p>
          <w:p w14:paraId="09543C59">
            <w:pPr>
              <w:pStyle w:val="20"/>
              <w:snapToGrid w:val="0"/>
              <w:spacing w:before="38" w:line="219" w:lineRule="auto"/>
              <w:ind w:left="120"/>
              <w:rPr>
                <w:spacing w:val="-2"/>
              </w:rPr>
            </w:pPr>
          </w:p>
          <w:p w14:paraId="535A4189">
            <w:pPr>
              <w:pStyle w:val="20"/>
              <w:snapToGrid w:val="0"/>
              <w:spacing w:before="38" w:line="219" w:lineRule="auto"/>
              <w:ind w:left="120"/>
              <w:rPr>
                <w:spacing w:val="-2"/>
              </w:rPr>
            </w:pPr>
          </w:p>
          <w:p w14:paraId="6C75FDE2">
            <w:pPr>
              <w:pStyle w:val="20"/>
              <w:snapToGrid w:val="0"/>
              <w:spacing w:before="38" w:line="219" w:lineRule="auto"/>
              <w:ind w:left="120"/>
              <w:rPr>
                <w:spacing w:val="-2"/>
              </w:rPr>
            </w:pPr>
          </w:p>
        </w:tc>
      </w:tr>
      <w:tr w14:paraId="5DB2F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00629F16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  <w:r>
              <w:rPr>
                <w:spacing w:val="-1"/>
              </w:rPr>
              <w:t>适用范围和主要</w:t>
            </w:r>
            <w:r>
              <w:rPr>
                <w:rFonts w:hint="eastAsia"/>
                <w:spacing w:val="-1"/>
                <w:lang w:val="en-US" w:eastAsia="zh-CN"/>
              </w:rPr>
              <w:t>技术内容</w:t>
            </w:r>
            <w:r>
              <w:rPr>
                <w:spacing w:val="-1"/>
              </w:rPr>
              <w:t>：</w:t>
            </w:r>
          </w:p>
          <w:p w14:paraId="3F7DF6C2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78D27353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2E81C3AD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366D2559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105CA4AF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7C83A771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</w:tc>
      </w:tr>
      <w:tr w14:paraId="4802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617540D7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  <w:r>
              <w:rPr>
                <w:spacing w:val="-1"/>
              </w:rPr>
              <w:t>现有工作基础和需解决的重点问题：</w:t>
            </w:r>
          </w:p>
          <w:p w14:paraId="6A580BBE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6AC3E88C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5904917A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065C033A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59D61578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  <w:p w14:paraId="720B0BF0">
            <w:pPr>
              <w:pStyle w:val="20"/>
              <w:snapToGrid w:val="0"/>
              <w:spacing w:before="38" w:line="219" w:lineRule="auto"/>
              <w:ind w:left="120"/>
              <w:rPr>
                <w:spacing w:val="-1"/>
              </w:rPr>
            </w:pPr>
          </w:p>
        </w:tc>
      </w:tr>
      <w:tr w14:paraId="6693C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0B8EE1B1">
            <w:pPr>
              <w:pStyle w:val="20"/>
              <w:snapToGrid w:val="0"/>
              <w:spacing w:before="38" w:line="219" w:lineRule="auto"/>
              <w:ind w:left="120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与相关标准的关系：</w:t>
            </w:r>
          </w:p>
          <w:p w14:paraId="4490B1B1">
            <w:pPr>
              <w:pStyle w:val="20"/>
              <w:snapToGrid w:val="0"/>
              <w:spacing w:before="38" w:line="219" w:lineRule="auto"/>
              <w:ind w:left="120"/>
              <w:rPr>
                <w:rFonts w:hint="eastAsia"/>
                <w:spacing w:val="-2"/>
                <w:lang w:val="en-US" w:eastAsia="zh-CN"/>
              </w:rPr>
            </w:pPr>
          </w:p>
          <w:p w14:paraId="4FB83F1F">
            <w:pPr>
              <w:pStyle w:val="20"/>
              <w:snapToGrid w:val="0"/>
              <w:spacing w:before="38" w:line="219" w:lineRule="auto"/>
              <w:ind w:left="120"/>
              <w:rPr>
                <w:rFonts w:hint="eastAsia"/>
                <w:spacing w:val="-2"/>
                <w:lang w:val="en-US" w:eastAsia="zh-CN"/>
              </w:rPr>
            </w:pPr>
          </w:p>
          <w:p w14:paraId="78E1B347">
            <w:pPr>
              <w:pStyle w:val="20"/>
              <w:snapToGrid w:val="0"/>
              <w:spacing w:before="38" w:line="219" w:lineRule="auto"/>
              <w:ind w:left="120"/>
              <w:rPr>
                <w:rFonts w:hint="eastAsia"/>
                <w:spacing w:val="-2"/>
                <w:lang w:val="en-US" w:eastAsia="zh-CN"/>
              </w:rPr>
            </w:pPr>
          </w:p>
          <w:p w14:paraId="301BF215">
            <w:pPr>
              <w:pStyle w:val="20"/>
              <w:snapToGrid w:val="0"/>
              <w:spacing w:before="38" w:line="219" w:lineRule="auto"/>
              <w:ind w:left="120"/>
              <w:rPr>
                <w:rFonts w:hint="eastAsia"/>
                <w:spacing w:val="-2"/>
                <w:lang w:val="en-US" w:eastAsia="zh-CN"/>
              </w:rPr>
            </w:pPr>
          </w:p>
          <w:p w14:paraId="1CC2E27A">
            <w:pPr>
              <w:pStyle w:val="20"/>
              <w:snapToGrid w:val="0"/>
              <w:spacing w:before="38" w:line="219" w:lineRule="auto"/>
              <w:ind w:left="120"/>
              <w:rPr>
                <w:rFonts w:hint="default"/>
                <w:spacing w:val="-2"/>
                <w:lang w:val="en-US" w:eastAsia="zh-CN"/>
              </w:rPr>
            </w:pPr>
          </w:p>
        </w:tc>
      </w:tr>
      <w:tr w14:paraId="6ABEF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7223803D">
            <w:pPr>
              <w:pStyle w:val="20"/>
              <w:snapToGrid w:val="0"/>
              <w:spacing w:before="38" w:line="219" w:lineRule="auto"/>
              <w:ind w:left="120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涉及专利情况：</w:t>
            </w:r>
          </w:p>
          <w:p w14:paraId="3BB344B1">
            <w:pPr>
              <w:pStyle w:val="20"/>
              <w:snapToGrid w:val="0"/>
              <w:spacing w:before="38" w:line="219" w:lineRule="auto"/>
              <w:ind w:left="120"/>
              <w:rPr>
                <w:rFonts w:hint="eastAsia"/>
                <w:spacing w:val="-2"/>
                <w:lang w:val="en-US" w:eastAsia="zh-CN"/>
              </w:rPr>
            </w:pPr>
          </w:p>
          <w:p w14:paraId="40B5E99A">
            <w:pPr>
              <w:pStyle w:val="20"/>
              <w:snapToGrid w:val="0"/>
              <w:spacing w:before="38" w:line="219" w:lineRule="auto"/>
              <w:rPr>
                <w:rFonts w:hint="eastAsia"/>
                <w:spacing w:val="-2"/>
                <w:lang w:val="en-US" w:eastAsia="zh-CN"/>
              </w:rPr>
            </w:pPr>
          </w:p>
          <w:p w14:paraId="4011FE49">
            <w:pPr>
              <w:pStyle w:val="20"/>
              <w:snapToGrid w:val="0"/>
              <w:spacing w:before="38" w:line="219" w:lineRule="auto"/>
              <w:rPr>
                <w:rFonts w:hint="eastAsia"/>
                <w:spacing w:val="-2"/>
                <w:lang w:val="en-US" w:eastAsia="zh-CN"/>
              </w:rPr>
            </w:pPr>
          </w:p>
          <w:p w14:paraId="3D7EAAB0">
            <w:pPr>
              <w:pStyle w:val="20"/>
              <w:snapToGrid w:val="0"/>
              <w:spacing w:before="38" w:line="219" w:lineRule="auto"/>
              <w:ind w:left="120"/>
              <w:rPr>
                <w:rFonts w:hint="eastAsia"/>
                <w:spacing w:val="-2"/>
                <w:lang w:val="en-US" w:eastAsia="zh-CN"/>
              </w:rPr>
            </w:pPr>
          </w:p>
          <w:p w14:paraId="58A96AFB">
            <w:pPr>
              <w:pStyle w:val="20"/>
              <w:snapToGrid w:val="0"/>
              <w:spacing w:before="38" w:line="219" w:lineRule="auto"/>
              <w:ind w:left="120"/>
              <w:rPr>
                <w:rFonts w:hint="default"/>
                <w:spacing w:val="-2"/>
                <w:lang w:val="en-US" w:eastAsia="zh-CN"/>
              </w:rPr>
            </w:pPr>
          </w:p>
        </w:tc>
      </w:tr>
      <w:tr w14:paraId="6881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0385E7EF">
            <w:pPr>
              <w:snapToGrid w:val="0"/>
              <w:jc w:val="both"/>
              <w:rPr>
                <w:rFonts w:ascii="Arial"/>
                <w:sz w:val="21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参编单位名称：</w:t>
            </w:r>
          </w:p>
        </w:tc>
      </w:tr>
      <w:tr w14:paraId="0D57D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4571A171">
            <w:pPr>
              <w:snapToGrid w:val="0"/>
              <w:jc w:val="center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主编人</w:t>
            </w:r>
          </w:p>
        </w:tc>
      </w:tr>
      <w:tr w14:paraId="262ED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Mar>
              <w:left w:w="108" w:type="dxa"/>
              <w:right w:w="108" w:type="dxa"/>
            </w:tcMar>
            <w:vAlign w:val="center"/>
          </w:tcPr>
          <w:p w14:paraId="396A0449">
            <w:pPr>
              <w:pStyle w:val="20"/>
              <w:snapToGrid w:val="0"/>
              <w:spacing w:before="79" w:line="243" w:lineRule="auto"/>
              <w:ind w:left="189" w:right="175"/>
              <w:jc w:val="center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8" w:type="pct"/>
            <w:tcMar>
              <w:left w:w="108" w:type="dxa"/>
              <w:right w:w="108" w:type="dxa"/>
            </w:tcMar>
            <w:vAlign w:val="center"/>
          </w:tcPr>
          <w:p w14:paraId="4108CA57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728" w:type="pct"/>
            <w:tcMar>
              <w:left w:w="108" w:type="dxa"/>
              <w:right w:w="108" w:type="dxa"/>
            </w:tcMar>
            <w:vAlign w:val="center"/>
          </w:tcPr>
          <w:p w14:paraId="0B127B46">
            <w:pPr>
              <w:snapToGrid w:val="0"/>
              <w:jc w:val="center"/>
              <w:rPr>
                <w:rFonts w:hint="eastAsia" w:ascii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30" w:type="pct"/>
            <w:tcMar>
              <w:left w:w="108" w:type="dxa"/>
              <w:right w:w="108" w:type="dxa"/>
            </w:tcMar>
            <w:vAlign w:val="center"/>
          </w:tcPr>
          <w:p w14:paraId="2CC095B8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  <w:tr w14:paraId="1F22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Mar>
              <w:left w:w="108" w:type="dxa"/>
              <w:right w:w="108" w:type="dxa"/>
            </w:tcMar>
            <w:vAlign w:val="center"/>
          </w:tcPr>
          <w:p w14:paraId="4CD62584">
            <w:pPr>
              <w:pStyle w:val="20"/>
              <w:snapToGrid w:val="0"/>
              <w:spacing w:before="79" w:line="243" w:lineRule="auto"/>
              <w:ind w:left="189" w:right="175"/>
              <w:jc w:val="center"/>
              <w:rPr>
                <w:rFonts w:hint="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48" w:type="pct"/>
            <w:tcMar>
              <w:left w:w="108" w:type="dxa"/>
              <w:right w:w="108" w:type="dxa"/>
            </w:tcMar>
            <w:vAlign w:val="center"/>
          </w:tcPr>
          <w:p w14:paraId="158C1075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728" w:type="pct"/>
            <w:tcMar>
              <w:left w:w="108" w:type="dxa"/>
              <w:right w:w="108" w:type="dxa"/>
            </w:tcMar>
            <w:vAlign w:val="center"/>
          </w:tcPr>
          <w:p w14:paraId="250CC480">
            <w:pPr>
              <w:snapToGrid w:val="0"/>
              <w:jc w:val="center"/>
              <w:rPr>
                <w:rFonts w:hint="eastAsia" w:ascii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30" w:type="pct"/>
            <w:tcMar>
              <w:left w:w="108" w:type="dxa"/>
              <w:right w:w="108" w:type="dxa"/>
            </w:tcMar>
            <w:vAlign w:val="center"/>
          </w:tcPr>
          <w:p w14:paraId="1717CC49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  <w:tr w14:paraId="1E017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Mar>
              <w:left w:w="108" w:type="dxa"/>
              <w:right w:w="108" w:type="dxa"/>
            </w:tcMar>
            <w:vAlign w:val="center"/>
          </w:tcPr>
          <w:p w14:paraId="6B1DF9C2">
            <w:pPr>
              <w:pStyle w:val="20"/>
              <w:snapToGrid w:val="0"/>
              <w:spacing w:before="79" w:line="243" w:lineRule="auto"/>
              <w:ind w:left="189" w:right="175"/>
              <w:jc w:val="center"/>
              <w:rPr>
                <w:rFonts w:hint="default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48" w:type="pct"/>
            <w:tcMar>
              <w:left w:w="108" w:type="dxa"/>
              <w:right w:w="108" w:type="dxa"/>
            </w:tcMar>
            <w:vAlign w:val="center"/>
          </w:tcPr>
          <w:p w14:paraId="171FF434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728" w:type="pct"/>
            <w:tcMar>
              <w:left w:w="108" w:type="dxa"/>
              <w:right w:w="108" w:type="dxa"/>
            </w:tcMar>
            <w:vAlign w:val="center"/>
          </w:tcPr>
          <w:p w14:paraId="76B9D285">
            <w:pPr>
              <w:snapToGrid w:val="0"/>
              <w:jc w:val="center"/>
              <w:rPr>
                <w:rFonts w:hint="default" w:ascii="Arial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30" w:type="pct"/>
            <w:tcMar>
              <w:left w:w="108" w:type="dxa"/>
              <w:right w:w="108" w:type="dxa"/>
            </w:tcMar>
            <w:vAlign w:val="center"/>
          </w:tcPr>
          <w:p w14:paraId="183691B0">
            <w:pPr>
              <w:snapToGrid w:val="0"/>
              <w:jc w:val="center"/>
              <w:rPr>
                <w:rFonts w:ascii="Arial"/>
                <w:color w:val="0000FF"/>
                <w:sz w:val="21"/>
              </w:rPr>
            </w:pPr>
          </w:p>
        </w:tc>
      </w:tr>
      <w:tr w14:paraId="68BAB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Mar>
              <w:left w:w="108" w:type="dxa"/>
              <w:right w:w="108" w:type="dxa"/>
            </w:tcMar>
            <w:vAlign w:val="center"/>
          </w:tcPr>
          <w:p w14:paraId="1FBA0CFA">
            <w:pPr>
              <w:pStyle w:val="20"/>
              <w:snapToGrid w:val="0"/>
              <w:spacing w:before="79" w:line="243" w:lineRule="auto"/>
              <w:ind w:left="189" w:right="175"/>
              <w:jc w:val="center"/>
              <w:rPr>
                <w:rFonts w:hint="default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48" w:type="pct"/>
            <w:tcMar>
              <w:left w:w="108" w:type="dxa"/>
              <w:right w:w="108" w:type="dxa"/>
            </w:tcMar>
            <w:vAlign w:val="center"/>
          </w:tcPr>
          <w:p w14:paraId="1466272E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728" w:type="pct"/>
            <w:tcMar>
              <w:left w:w="108" w:type="dxa"/>
              <w:right w:w="108" w:type="dxa"/>
            </w:tcMar>
            <w:vAlign w:val="center"/>
          </w:tcPr>
          <w:p w14:paraId="78EEECA8">
            <w:pPr>
              <w:snapToGrid w:val="0"/>
              <w:jc w:val="center"/>
              <w:rPr>
                <w:rFonts w:hint="default" w:ascii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pct"/>
            <w:tcMar>
              <w:left w:w="108" w:type="dxa"/>
              <w:right w:w="108" w:type="dxa"/>
            </w:tcMar>
            <w:vAlign w:val="center"/>
          </w:tcPr>
          <w:p w14:paraId="0FE63020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  <w:tr w14:paraId="543D5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2D802220">
            <w:pPr>
              <w:pStyle w:val="20"/>
              <w:snapToGrid w:val="0"/>
              <w:spacing w:before="40" w:line="219" w:lineRule="auto"/>
              <w:ind w:left="116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业绩简介</w:t>
            </w:r>
            <w:r>
              <w:rPr>
                <w:spacing w:val="-1"/>
              </w:rPr>
              <w:t>：</w:t>
            </w:r>
          </w:p>
          <w:p w14:paraId="06F4C577">
            <w:pPr>
              <w:pStyle w:val="20"/>
              <w:snapToGrid w:val="0"/>
              <w:spacing w:before="40" w:line="219" w:lineRule="auto"/>
              <w:ind w:left="116"/>
              <w:rPr>
                <w:spacing w:val="-1"/>
              </w:rPr>
            </w:pPr>
          </w:p>
          <w:p w14:paraId="26CC275D">
            <w:pPr>
              <w:pStyle w:val="20"/>
              <w:snapToGrid w:val="0"/>
              <w:spacing w:before="40" w:line="219" w:lineRule="auto"/>
              <w:ind w:left="116"/>
              <w:rPr>
                <w:spacing w:val="-1"/>
              </w:rPr>
            </w:pPr>
          </w:p>
          <w:p w14:paraId="4701E946">
            <w:pPr>
              <w:pStyle w:val="20"/>
              <w:snapToGrid w:val="0"/>
              <w:spacing w:before="40" w:line="219" w:lineRule="auto"/>
              <w:ind w:left="116"/>
              <w:rPr>
                <w:spacing w:val="-1"/>
              </w:rPr>
            </w:pPr>
          </w:p>
          <w:p w14:paraId="29DEF3F1">
            <w:pPr>
              <w:pStyle w:val="20"/>
              <w:snapToGrid w:val="0"/>
              <w:spacing w:before="40" w:line="219" w:lineRule="auto"/>
              <w:ind w:left="116"/>
              <w:rPr>
                <w:spacing w:val="-1"/>
              </w:rPr>
            </w:pPr>
          </w:p>
          <w:p w14:paraId="040BB737">
            <w:pPr>
              <w:pStyle w:val="20"/>
              <w:snapToGrid w:val="0"/>
              <w:spacing w:before="40" w:line="219" w:lineRule="auto"/>
              <w:ind w:left="116"/>
              <w:rPr>
                <w:spacing w:val="-1"/>
              </w:rPr>
            </w:pPr>
          </w:p>
        </w:tc>
      </w:tr>
      <w:tr w14:paraId="07678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6921DE81">
            <w:pPr>
              <w:pStyle w:val="20"/>
              <w:snapToGrid w:val="0"/>
              <w:spacing w:before="40" w:line="219" w:lineRule="auto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编制经费预算总计：      万元</w:t>
            </w:r>
          </w:p>
          <w:p w14:paraId="0F13CEA7">
            <w:pPr>
              <w:pStyle w:val="20"/>
              <w:snapToGrid w:val="0"/>
              <w:spacing w:before="40" w:line="219" w:lineRule="auto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其中：编制单位自筹：      万元</w:t>
            </w:r>
          </w:p>
          <w:p w14:paraId="558F0747">
            <w:pPr>
              <w:pStyle w:val="20"/>
              <w:snapToGrid w:val="0"/>
              <w:spacing w:before="40" w:line="219" w:lineRule="auto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其他：      万元</w:t>
            </w:r>
          </w:p>
        </w:tc>
      </w:tr>
      <w:tr w14:paraId="549E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2FBD998E">
            <w:pPr>
              <w:pStyle w:val="20"/>
              <w:snapToGrid w:val="0"/>
              <w:spacing w:before="40" w:line="219" w:lineRule="auto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申请单位联系人姓名：</w:t>
            </w:r>
          </w:p>
          <w:p w14:paraId="1BF7FED3">
            <w:pPr>
              <w:pStyle w:val="20"/>
              <w:snapToGrid w:val="0"/>
              <w:spacing w:before="40" w:line="219" w:lineRule="auto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电话：                        电子邮箱：</w:t>
            </w:r>
          </w:p>
          <w:p w14:paraId="1D05DBB2">
            <w:pPr>
              <w:pStyle w:val="20"/>
              <w:snapToGrid w:val="0"/>
              <w:spacing w:before="40" w:line="219" w:lineRule="auto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通讯地址：</w:t>
            </w:r>
          </w:p>
          <w:p w14:paraId="1F6A4664">
            <w:pPr>
              <w:pStyle w:val="20"/>
              <w:snapToGrid w:val="0"/>
              <w:spacing w:before="40" w:line="219" w:lineRule="auto"/>
              <w:ind w:firstLine="3808" w:firstLineChars="1600"/>
              <w:rPr>
                <w:rFonts w:hint="eastAsia"/>
                <w:spacing w:val="-1"/>
                <w:lang w:val="en-US" w:eastAsia="zh-CN"/>
              </w:rPr>
            </w:pPr>
          </w:p>
          <w:p w14:paraId="48857268">
            <w:pPr>
              <w:pStyle w:val="20"/>
              <w:snapToGrid w:val="0"/>
              <w:spacing w:before="40" w:line="219" w:lineRule="auto"/>
              <w:ind w:firstLine="3808" w:firstLineChars="1600"/>
              <w:rPr>
                <w:rFonts w:hint="eastAsia"/>
                <w:spacing w:val="-1"/>
                <w:lang w:val="en-US" w:eastAsia="zh-CN"/>
              </w:rPr>
            </w:pPr>
          </w:p>
          <w:p w14:paraId="49081EC9">
            <w:pPr>
              <w:pStyle w:val="20"/>
              <w:snapToGrid w:val="0"/>
              <w:spacing w:before="40" w:line="219" w:lineRule="auto"/>
              <w:ind w:firstLine="4046" w:firstLineChars="1700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单位负责人签字：</w:t>
            </w:r>
          </w:p>
          <w:p w14:paraId="6F2F8041">
            <w:pPr>
              <w:pStyle w:val="20"/>
              <w:snapToGrid w:val="0"/>
              <w:spacing w:before="40" w:line="219" w:lineRule="auto"/>
              <w:ind w:left="116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            （公章）    年   月    日</w:t>
            </w:r>
          </w:p>
        </w:tc>
      </w:tr>
      <w:tr w14:paraId="41D3B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top"/>
          </w:tcPr>
          <w:p w14:paraId="3EA10136">
            <w:pPr>
              <w:pStyle w:val="20"/>
              <w:snapToGrid w:val="0"/>
              <w:spacing w:before="40" w:line="219" w:lineRule="auto"/>
              <w:ind w:left="116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协会审核意见：</w:t>
            </w:r>
          </w:p>
          <w:p w14:paraId="748BBF0B">
            <w:pPr>
              <w:pStyle w:val="20"/>
              <w:snapToGrid w:val="0"/>
              <w:spacing w:before="40" w:line="219" w:lineRule="auto"/>
              <w:ind w:left="116"/>
              <w:rPr>
                <w:rFonts w:hint="eastAsia"/>
                <w:spacing w:val="-1"/>
                <w:lang w:val="en-US" w:eastAsia="zh-CN"/>
              </w:rPr>
            </w:pPr>
          </w:p>
          <w:p w14:paraId="68BCC4FC">
            <w:pPr>
              <w:pStyle w:val="20"/>
              <w:snapToGrid w:val="0"/>
              <w:spacing w:before="40" w:line="219" w:lineRule="auto"/>
              <w:ind w:left="116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                   （公章）</w:t>
            </w:r>
          </w:p>
          <w:p w14:paraId="1A52539D">
            <w:pPr>
              <w:pStyle w:val="20"/>
              <w:snapToGrid w:val="0"/>
              <w:spacing w:before="40" w:line="219" w:lineRule="auto"/>
              <w:ind w:left="116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                    年   月   日</w:t>
            </w:r>
          </w:p>
        </w:tc>
      </w:tr>
    </w:tbl>
    <w:p w14:paraId="71BB16B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注：如本表空间不够，可调整行高。</w:t>
      </w:r>
    </w:p>
    <w:p w14:paraId="354FFA3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23"/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标准类别为：工程质量检测与鉴定技术、质量监督与管理、</w:t>
      </w:r>
      <w:r>
        <w:rPr>
          <w:rStyle w:val="23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预拌混凝土企业生产、新兴领域、其他。</w:t>
      </w:r>
    </w:p>
    <w:sectPr>
      <w:footerReference r:id="rId7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11C6FDA-3970-41AE-86FE-5778940FF6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D7BC1C-BCE2-4C92-8DDB-59031CFE63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F038ECD-1313-4896-A851-C962D9E432A2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E64EA1C-A1CB-494C-BB52-282318C6C5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14"/>
    <w:family w:val="modern"/>
    <w:pitch w:val="default"/>
    <w:sig w:usb0="00000000" w:usb1="00000000" w:usb2="00000010" w:usb3="00000000" w:csb0="00040000" w:csb1="00000000"/>
    <w:embedRegular r:id="rId5" w:fontKey="{2B45EF7B-92E0-4EFB-B20A-6FCB700880D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19E2DA86-6E07-48D0-837E-114A6F507CD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34030A8-B314-4022-897E-9364042CD7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8" w:fontKey="{C0D66808-CE95-471D-B398-4FC1EF4681DA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9" w:fontKey="{629F2AC0-0F10-4DFF-B048-E44510349371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51BB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569F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8E569F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3F25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163E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E163E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8B258">
    <w:pPr>
      <w:spacing w:line="174" w:lineRule="auto"/>
      <w:ind w:left="3995"/>
      <w:rPr>
        <w:rFonts w:ascii="Calibri" w:hAnsi="Calibri" w:eastAsia="Calibri" w:cs="Calibri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F521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E9F521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7EA5C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175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468C"/>
    <w:rsid w:val="00E512E4"/>
    <w:rsid w:val="03F90AE6"/>
    <w:rsid w:val="042036E8"/>
    <w:rsid w:val="042B7FA3"/>
    <w:rsid w:val="04916F73"/>
    <w:rsid w:val="05711D4F"/>
    <w:rsid w:val="0596483F"/>
    <w:rsid w:val="06BF3E37"/>
    <w:rsid w:val="06CA32D6"/>
    <w:rsid w:val="06F537E7"/>
    <w:rsid w:val="097F71D4"/>
    <w:rsid w:val="0A290C66"/>
    <w:rsid w:val="0A312D88"/>
    <w:rsid w:val="0A86599B"/>
    <w:rsid w:val="0A8F317A"/>
    <w:rsid w:val="0C4C3ADD"/>
    <w:rsid w:val="0CB101B0"/>
    <w:rsid w:val="0E8E3B6F"/>
    <w:rsid w:val="0F76748F"/>
    <w:rsid w:val="102869DB"/>
    <w:rsid w:val="10572E1C"/>
    <w:rsid w:val="12874FEB"/>
    <w:rsid w:val="128E2618"/>
    <w:rsid w:val="136B5FEC"/>
    <w:rsid w:val="14131750"/>
    <w:rsid w:val="150B64DD"/>
    <w:rsid w:val="158D561C"/>
    <w:rsid w:val="184C510B"/>
    <w:rsid w:val="18EC35CF"/>
    <w:rsid w:val="1A4E480F"/>
    <w:rsid w:val="1A702FFD"/>
    <w:rsid w:val="1A882CB3"/>
    <w:rsid w:val="1A9D0E25"/>
    <w:rsid w:val="1B663D36"/>
    <w:rsid w:val="1C2A7881"/>
    <w:rsid w:val="1C850D83"/>
    <w:rsid w:val="1CDD3769"/>
    <w:rsid w:val="21A41C3A"/>
    <w:rsid w:val="223E6176"/>
    <w:rsid w:val="227A2047"/>
    <w:rsid w:val="23445482"/>
    <w:rsid w:val="24F133E8"/>
    <w:rsid w:val="2500187D"/>
    <w:rsid w:val="251460CB"/>
    <w:rsid w:val="255138CE"/>
    <w:rsid w:val="26EE2789"/>
    <w:rsid w:val="27E17743"/>
    <w:rsid w:val="284E0B51"/>
    <w:rsid w:val="29736A32"/>
    <w:rsid w:val="2A6C52BE"/>
    <w:rsid w:val="2B7C11FE"/>
    <w:rsid w:val="2BD1187D"/>
    <w:rsid w:val="2CA50ADA"/>
    <w:rsid w:val="2E6C11DA"/>
    <w:rsid w:val="2EA1667F"/>
    <w:rsid w:val="31D73965"/>
    <w:rsid w:val="32B954EF"/>
    <w:rsid w:val="33525999"/>
    <w:rsid w:val="33947D60"/>
    <w:rsid w:val="35020E7C"/>
    <w:rsid w:val="36401AD9"/>
    <w:rsid w:val="36E46467"/>
    <w:rsid w:val="3A1B43D8"/>
    <w:rsid w:val="3B274F4E"/>
    <w:rsid w:val="3B667C69"/>
    <w:rsid w:val="3B9E5419"/>
    <w:rsid w:val="3BBC60A6"/>
    <w:rsid w:val="3C326368"/>
    <w:rsid w:val="3D347EBE"/>
    <w:rsid w:val="3D685EE7"/>
    <w:rsid w:val="3DBF3355"/>
    <w:rsid w:val="3F285C9D"/>
    <w:rsid w:val="3F955C2B"/>
    <w:rsid w:val="416E1656"/>
    <w:rsid w:val="42762498"/>
    <w:rsid w:val="42A736DA"/>
    <w:rsid w:val="430E508D"/>
    <w:rsid w:val="43564F36"/>
    <w:rsid w:val="437C436D"/>
    <w:rsid w:val="44615A3C"/>
    <w:rsid w:val="463C0CB3"/>
    <w:rsid w:val="47700D95"/>
    <w:rsid w:val="4950607F"/>
    <w:rsid w:val="4A925560"/>
    <w:rsid w:val="4ADB406F"/>
    <w:rsid w:val="4C1D15AA"/>
    <w:rsid w:val="4CD669C1"/>
    <w:rsid w:val="4D507A4C"/>
    <w:rsid w:val="4D710D8B"/>
    <w:rsid w:val="4EE47996"/>
    <w:rsid w:val="4FDD5E74"/>
    <w:rsid w:val="507F724A"/>
    <w:rsid w:val="508A3A3E"/>
    <w:rsid w:val="50946C0C"/>
    <w:rsid w:val="51EE7F7C"/>
    <w:rsid w:val="534317D9"/>
    <w:rsid w:val="54EE6AEA"/>
    <w:rsid w:val="55436A98"/>
    <w:rsid w:val="556B1570"/>
    <w:rsid w:val="55A7171D"/>
    <w:rsid w:val="55FF5F6D"/>
    <w:rsid w:val="56D620BB"/>
    <w:rsid w:val="57054A2D"/>
    <w:rsid w:val="57776ECD"/>
    <w:rsid w:val="58135D80"/>
    <w:rsid w:val="594352B9"/>
    <w:rsid w:val="5AB53F94"/>
    <w:rsid w:val="5AC467B3"/>
    <w:rsid w:val="5AEF2757"/>
    <w:rsid w:val="5B8C44E8"/>
    <w:rsid w:val="5BBC1352"/>
    <w:rsid w:val="5CD16E8B"/>
    <w:rsid w:val="5CE943C9"/>
    <w:rsid w:val="5D0564A4"/>
    <w:rsid w:val="5DB70023"/>
    <w:rsid w:val="5FB02BD3"/>
    <w:rsid w:val="60830691"/>
    <w:rsid w:val="60984BC6"/>
    <w:rsid w:val="632E6C6B"/>
    <w:rsid w:val="68B8353F"/>
    <w:rsid w:val="68D50F97"/>
    <w:rsid w:val="68FA166A"/>
    <w:rsid w:val="69306C4B"/>
    <w:rsid w:val="6A510566"/>
    <w:rsid w:val="6B681A95"/>
    <w:rsid w:val="6DDD0E57"/>
    <w:rsid w:val="6DE27C96"/>
    <w:rsid w:val="70537581"/>
    <w:rsid w:val="72143FCE"/>
    <w:rsid w:val="724F6669"/>
    <w:rsid w:val="7280306D"/>
    <w:rsid w:val="73A2410C"/>
    <w:rsid w:val="73A86132"/>
    <w:rsid w:val="73C53042"/>
    <w:rsid w:val="7497355E"/>
    <w:rsid w:val="74A84DD4"/>
    <w:rsid w:val="74B17A6A"/>
    <w:rsid w:val="77476464"/>
    <w:rsid w:val="77610761"/>
    <w:rsid w:val="77C70FE5"/>
    <w:rsid w:val="78457A84"/>
    <w:rsid w:val="789B0711"/>
    <w:rsid w:val="7B303569"/>
    <w:rsid w:val="7B852CF1"/>
    <w:rsid w:val="7CCC316A"/>
    <w:rsid w:val="7F3C650F"/>
    <w:rsid w:val="7F860FBC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3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4">
    <w:name w:val="标题 2 Char1"/>
    <w:link w:val="3"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af88b3bc-ffa2-4375-bf2d-36b62d1ae562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543A346D</paraID>
      <start>0</start>
      <end>1</end>
      <status>ignored</status>
      <modifiedWord/>
      <trackRevisions>false</trackRevisions>
    </reviewItem>
    <reviewItem>
      <errorID>91e3020e-32f8-4057-8a81-a2f7aac7f88a</errorID>
      <errorWord>《</errorWord>
      <group>L1_Punc</group>
      <groupName>标点问题</groupName>
      <ability>L2_Punc</ability>
      <abilityName>标点符号检查</abilityName>
      <candidateList>
        <item>）《</item>
      </candidateList>
      <explain/>
      <paraID>543A346D</paraID>
      <start>2</start>
      <end>4</end>
      <status>modified</status>
      <modifiedWord>）《</modifiedWord>
      <trackRevisions>false</trackRevisions>
    </reviewItem>
    <reviewItem>
      <errorID>5a65ad83-aaf5-40b6-81c9-68f4aaedfd1c</errorID>
      <errorWord>作为</errorWord>
      <group>L1_Word</group>
      <groupName>字词问题</groupName>
      <ability>L2_Typo</ability>
      <abilityName>字词错误</abilityName>
      <candidateList>
        <item>其作为</item>
      </candidateList>
      <explain/>
      <paraID>53D91ED1</paraID>
      <start>19</start>
      <end>22</end>
      <status>modified</status>
      <modifiedWord>其作为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eaa53-b22d-4e87-996f-eea620fb5f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659</Words>
  <Characters>675</Characters>
  <Lines>0</Lines>
  <Paragraphs>0</Paragraphs>
  <TotalTime>0</TotalTime>
  <ScaleCrop>false</ScaleCrop>
  <LinksUpToDate>false</LinksUpToDate>
  <CharactersWithSpaces>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2026-03-23T03:32:00Z</dcterms:created>
  <dc:creator>hp</dc:creator>
  <cp:lastModifiedBy>胡文娟</cp:lastModifiedBy>
  <cp:lastPrinted>2026-04-16T08:25:00Z</cp:lastPrinted>
  <dcterms:modified xsi:type="dcterms:W3CDTF">2026-04-17T08:08:39Z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eyJoZGlkIjoiZDUyOWMwNWExMDI1OTZlM2E2NDVmZDQyMDdhNjIwZDQiLCJ1c2VySWQiOiI0NDcyNDA2MDkifQ==</vt:lpwstr>
  </property>
  <property fmtid="{D5CDD505-2E9C-101B-9397-08002B2CF9AE}" pid="4" name="ICV">
    <vt:lpwstr>7DA57F122FE14C519EE6118A6A7A068C_13</vt:lpwstr>
  </property>
</Properties>
</file>