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media/image3.svg" ContentType="image/svg+xml"/>
  <Override PartName="/word/media/image4.svg" ContentType="image/svg+xml"/>
  <Override PartName="/word/media/image5.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FA7F8">
      <w:pPr>
        <w:pageBreakBefore w:val="0"/>
        <w:widowControl w:val="0"/>
        <w:kinsoku/>
        <w:wordWrap/>
        <w:autoSpaceDE/>
        <w:autoSpaceDN/>
        <w:bidi w:val="0"/>
        <w:adjustRightInd/>
        <w:spacing w:line="1440" w:lineRule="exact"/>
        <w:jc w:val="distribute"/>
        <w:textAlignment w:val="auto"/>
        <w:rPr>
          <w:rFonts w:hint="eastAsia" w:ascii="方正大标宋简体" w:hAnsi="方正大标宋简体" w:eastAsia="方正大标宋简体" w:cs="方正大标宋简体"/>
          <w:color w:val="FF0000"/>
          <w:spacing w:val="-34"/>
          <w:w w:val="42"/>
          <w:sz w:val="112"/>
          <w:szCs w:val="112"/>
          <w:lang w:bidi="ar"/>
        </w:rPr>
      </w:pPr>
    </w:p>
    <w:p w14:paraId="4B4990EF">
      <w:pPr>
        <w:pageBreakBefore w:val="0"/>
        <w:widowControl w:val="0"/>
        <w:kinsoku/>
        <w:wordWrap/>
        <w:autoSpaceDE/>
        <w:autoSpaceDN/>
        <w:bidi w:val="0"/>
        <w:adjustRightInd/>
        <w:spacing w:line="1440" w:lineRule="exact"/>
        <w:jc w:val="distribute"/>
        <w:textAlignment w:val="auto"/>
        <w:rPr>
          <w:rFonts w:hint="eastAsia" w:ascii="方正大标宋简体" w:hAnsi="方正大标宋简体" w:eastAsia="方正大标宋简体" w:cs="方正大标宋简体"/>
          <w:color w:val="FF0000"/>
          <w:spacing w:val="-34"/>
          <w:w w:val="42"/>
          <w:sz w:val="112"/>
          <w:szCs w:val="112"/>
          <w:lang w:val="en-US" w:eastAsia="zh-CN"/>
        </w:rPr>
      </w:pPr>
      <w:r>
        <w:rPr>
          <w:rFonts w:hint="eastAsia" w:ascii="方正大标宋简体" w:hAnsi="方正大标宋简体" w:eastAsia="方正大标宋简体" w:cs="方正大标宋简体"/>
          <w:color w:val="FF0000"/>
          <w:spacing w:val="-34"/>
          <w:w w:val="42"/>
          <w:sz w:val="112"/>
          <w:szCs w:val="112"/>
          <w:lang w:bidi="ar"/>
        </w:rPr>
        <w:t>河南省建设工程质量监督检测行业协会</w:t>
      </w:r>
      <w:r>
        <w:rPr>
          <w:rFonts w:hint="eastAsia" w:ascii="方正大标宋简体" w:hAnsi="方正大标宋简体" w:eastAsia="方正大标宋简体" w:cs="方正大标宋简体"/>
          <w:color w:val="FF0000"/>
          <w:spacing w:val="-34"/>
          <w:w w:val="42"/>
          <w:sz w:val="112"/>
          <w:szCs w:val="112"/>
          <w:lang w:eastAsia="zh-CN" w:bidi="ar"/>
        </w:rPr>
        <w:t>文件</w:t>
      </w:r>
    </w:p>
    <w:p w14:paraId="1153AD59">
      <w:pPr>
        <w:pageBreakBefore w:val="0"/>
        <w:widowControl w:val="0"/>
        <w:kinsoku/>
        <w:wordWrap/>
        <w:autoSpaceDE/>
        <w:autoSpaceDN/>
        <w:bidi w:val="0"/>
        <w:adjustRightInd/>
        <w:spacing w:line="440" w:lineRule="exact"/>
        <w:jc w:val="center"/>
        <w:textAlignment w:val="auto"/>
        <w:rPr>
          <w:rFonts w:hint="eastAsia" w:ascii="仿宋" w:hAnsi="仿宋" w:eastAsia="仿宋" w:cs="仿宋"/>
          <w:sz w:val="30"/>
          <w:szCs w:val="30"/>
        </w:rPr>
      </w:pPr>
    </w:p>
    <w:p w14:paraId="1E484D46">
      <w:pPr>
        <w:pageBreakBefore w:val="0"/>
        <w:widowControl w:val="0"/>
        <w:kinsoku/>
        <w:wordWrap/>
        <w:autoSpaceDE/>
        <w:autoSpaceDN/>
        <w:bidi w:val="0"/>
        <w:adjustRightInd/>
        <w:jc w:val="center"/>
        <w:textAlignment w:val="auto"/>
        <w:rPr>
          <w:rFonts w:hint="eastAsia" w:ascii="仿宋" w:hAnsi="仿宋" w:eastAsia="仿宋" w:cs="仿宋"/>
          <w:sz w:val="32"/>
          <w:szCs w:val="32"/>
        </w:rPr>
      </w:pPr>
      <w:r>
        <w:rPr>
          <w:rFonts w:hint="eastAsia" w:ascii="仿宋" w:hAnsi="仿宋" w:eastAsia="仿宋" w:cs="仿宋"/>
          <w:sz w:val="32"/>
          <w:szCs w:val="32"/>
          <w:lang w:bidi="ar"/>
        </w:rPr>
        <w:t>豫建</w:t>
      </w:r>
      <w:r>
        <w:rPr>
          <w:rFonts w:hint="eastAsia" w:ascii="仿宋" w:hAnsi="仿宋" w:eastAsia="仿宋" w:cs="仿宋"/>
          <w:color w:val="000000"/>
          <w:kern w:val="21"/>
          <w:sz w:val="32"/>
          <w:szCs w:val="32"/>
          <w:lang w:bidi="ar"/>
        </w:rPr>
        <w:t>检</w:t>
      </w:r>
      <w:r>
        <w:rPr>
          <w:rFonts w:hint="eastAsia" w:ascii="仿宋" w:hAnsi="仿宋" w:eastAsia="仿宋" w:cs="仿宋"/>
          <w:sz w:val="32"/>
          <w:szCs w:val="32"/>
          <w:lang w:bidi="ar"/>
        </w:rPr>
        <w:t>协〔202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16</w:t>
      </w:r>
      <w:r>
        <w:rPr>
          <w:rFonts w:hint="eastAsia" w:ascii="仿宋" w:hAnsi="仿宋" w:eastAsia="仿宋" w:cs="仿宋"/>
          <w:sz w:val="32"/>
          <w:szCs w:val="32"/>
          <w:lang w:bidi="ar"/>
        </w:rPr>
        <w:t>号</w:t>
      </w:r>
    </w:p>
    <w:p w14:paraId="2A4CDEDC">
      <w:pPr>
        <w:pageBreakBefore w:val="0"/>
        <w:widowControl w:val="0"/>
        <w:kinsoku/>
        <w:wordWrap/>
        <w:autoSpaceDE/>
        <w:autoSpaceDN/>
        <w:bidi w:val="0"/>
        <w:adjustRightInd/>
        <w:jc w:val="center"/>
        <w:textAlignment w:val="auto"/>
      </w:pPr>
    </w:p>
    <w:p w14:paraId="76BE71B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pPr>
      <w:r>
        <w:rPr>
          <w:rFonts w:eastAsia="微软雅黑"/>
          <w:lang w:bidi="ar"/>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29210</wp:posOffset>
                </wp:positionV>
                <wp:extent cx="5615940"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2pt;margin-top:2.3pt;height:0.15pt;width:442.2pt;z-index:251660288;mso-width-relative:page;mso-height-relative:page;" filled="f" stroked="t" coordsize="21600,21600" o:gfxdata="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6zZZbWAAAABwEAAA8AAAAAAAAAAQAgAAAAIgAAAGRycy9kb3ducmV2Lnht&#10;bFBLAQIUABQAAAAIAIdO4kArYGEo+wEAAPYDAAAOAAAAAAAAAAEAIAAAACUBAABkcnMvZTJvRG9j&#10;LnhtbFBLBQYAAAAABgAGAFkBAACSBQAAAAA=&#10;">
                <v:fill on="f" focussize="0,0"/>
                <v:stroke weight="1.5pt" color="#FF0000" joinstyle="round"/>
                <v:imagedata o:title=""/>
                <o:lock v:ext="edit" aspectratio="f"/>
              </v:line>
            </w:pict>
          </mc:Fallback>
        </mc:AlternateContent>
      </w:r>
    </w:p>
    <w:p w14:paraId="63CFD4F1">
      <w:pPr>
        <w:pStyle w:val="17"/>
        <w:widowControl/>
        <w:rPr>
          <w:rFonts w:hint="eastAsia" w:ascii="方正公文小标宋" w:hAnsi="方正公文小标宋" w:eastAsia="方正公文小标宋" w:cs="方正公文小标宋"/>
        </w:rPr>
      </w:pPr>
      <mc:AlternateContent>
        <mc:Choice Requires="wpsCustomData">
          <wpsCustomData:docfieldStart id="0" docfieldname="标题_1" hidden="0" print="1" readonly="0" index="7"/>
        </mc:Choice>
      </mc:AlternateContent>
      <w:r>
        <w:rPr>
          <w:rFonts w:hint="eastAsia" w:ascii="方正公文小标宋" w:hAnsi="方正公文小标宋" w:eastAsia="方正公文小标宋" w:cs="方正公文小标宋"/>
        </w:rPr>
        <w:t>关于印发《河南省建设工程质量监督检测行业协会分支机构（代表机构）考核办法》的通知</w:t>
      </w:r>
      <mc:AlternateContent>
        <mc:Choice Requires="wpsCustomData">
          <wpsCustomData:docfieldEnd id="0"/>
        </mc:Choice>
      </mc:AlternateContent>
    </w:p>
    <w:p w14:paraId="7D74D885">
      <w:pPr>
        <w:pStyle w:val="12"/>
        <w:bidi w:val="0"/>
        <w:spacing w:beforeAutospacing="0" w:afterAutospacing="0" w:line="300" w:lineRule="exact"/>
      </w:pPr>
    </w:p>
    <w:p w14:paraId="1F278435">
      <w:pPr>
        <w:pStyle w:val="12"/>
        <w:bidi w:val="0"/>
        <w:spacing w:beforeAutospacing="0" w:afterAutospacing="0" w:line="300" w:lineRule="exact"/>
      </w:pPr>
    </w:p>
    <w:p w14:paraId="49DD999D">
      <w:pPr>
        <w:keepNext w:val="0"/>
        <w:keepLines w:val="0"/>
        <w:widowControl/>
        <w:suppressLineNumbers w:val="0"/>
        <w:spacing w:after="120" w:line="360" w:lineRule="auto"/>
        <w:jc w:val="both"/>
        <w:rPr>
          <w:rFonts w:ascii="Times New Roman" w:hAnsi="Times New Roman" w:eastAsia="仿宋_GB2312" w:cs="仿宋_GB2312"/>
          <w:color w:val="1F2329"/>
          <w:spacing w:val="-6"/>
          <w:kern w:val="0"/>
          <w:sz w:val="32"/>
          <w:szCs w:val="32"/>
        </w:rPr>
      </w:pPr>
      <w:r>
        <w:rPr>
          <w:rFonts w:ascii="Times New Roman" w:hAnsi="Times New Roman" w:eastAsia="仿宋_GB2312" w:cs="仿宋_GB2312"/>
          <w:color w:val="1F2329"/>
          <w:spacing w:val="-6"/>
          <w:kern w:val="0"/>
          <w:sz w:val="32"/>
          <w:szCs w:val="32"/>
          <w:lang w:val="en-US" w:eastAsia="zh-CN"/>
        </w:rPr>
        <w:t>各分支机构（代表机构）：</w:t>
      </w:r>
    </w:p>
    <w:p w14:paraId="796461C2">
      <w:pPr>
        <w:keepNext w:val="0"/>
        <w:keepLines w:val="0"/>
        <w:widowControl/>
        <w:suppressLineNumbers w:val="0"/>
        <w:ind w:leftChars="0" w:firstLine="616" w:firstLineChars="200"/>
        <w:jc w:val="left"/>
        <w:rPr>
          <w:rFonts w:ascii="Times New Roman" w:hAnsi="Times New Roman" w:eastAsia="仿宋_GB2312" w:cs="仿宋_GB2312"/>
          <w:color w:val="1F2329"/>
          <w:spacing w:val="-6"/>
          <w:kern w:val="0"/>
          <w:sz w:val="32"/>
          <w:szCs w:val="32"/>
          <w:lang w:val="en-US" w:eastAsia="zh-CN"/>
        </w:rPr>
      </w:pPr>
      <w:r>
        <w:rPr>
          <w:rFonts w:ascii="Times New Roman" w:hAnsi="Times New Roman" w:eastAsia="仿宋_GB2312" w:cs="仿宋_GB2312"/>
          <w:color w:val="1F2329"/>
          <w:spacing w:val="-6"/>
          <w:kern w:val="0"/>
          <w:sz w:val="32"/>
          <w:szCs w:val="32"/>
          <w:lang w:val="en-US" w:eastAsia="zh-CN"/>
        </w:rPr>
        <w:t>为进一步规范协会分支机构（代表机构）管理，强化履职尽责与效能提升，更好履行“四个服务”职能定位，促进分支机构（代表机构）能力建设，充分激发分支机构（代表机构）效能，推动分支机构（代表机构）健康有序发展，协会制定了《河南省建设工程质量监督检测行业协会分支机构（代表机构）考核办法》。</w:t>
      </w:r>
    </w:p>
    <w:p w14:paraId="263DB0EF">
      <w:pPr>
        <w:keepNext w:val="0"/>
        <w:keepLines w:val="0"/>
        <w:widowControl/>
        <w:suppressLineNumbers w:val="0"/>
        <w:spacing w:line="240" w:lineRule="auto"/>
        <w:ind w:leftChars="0" w:firstLine="616" w:firstLineChars="200"/>
        <w:jc w:val="left"/>
        <w:rPr>
          <w:rFonts w:ascii="Times New Roman" w:hAnsi="Times New Roman" w:eastAsia="仿宋_GB2312" w:cs="仿宋_GB2312"/>
          <w:color w:val="1F2329"/>
          <w:spacing w:val="-6"/>
          <w:kern w:val="0"/>
          <w:sz w:val="32"/>
          <w:szCs w:val="32"/>
          <w:lang w:val="en-US" w:eastAsia="zh-CN"/>
        </w:rPr>
      </w:pPr>
      <w:r>
        <w:rPr>
          <w:rFonts w:ascii="Times New Roman" w:hAnsi="Times New Roman" w:eastAsia="仿宋_GB2312" w:cs="仿宋_GB2312"/>
          <w:color w:val="1F2329"/>
          <w:spacing w:val="-6"/>
          <w:kern w:val="0"/>
          <w:sz w:val="32"/>
          <w:szCs w:val="32"/>
          <w:lang w:val="en-US" w:eastAsia="zh-CN"/>
        </w:rPr>
        <w:t>本办法经协会常务理事会审议通过，现印发给你们，请严格遵照执行。</w:t>
      </w:r>
    </w:p>
    <w:p w14:paraId="3E5D60C6">
      <w:pPr>
        <w:keepNext w:val="0"/>
        <w:keepLines w:val="0"/>
        <w:widowControl/>
        <w:suppressLineNumbers w:val="0"/>
        <w:spacing w:line="240" w:lineRule="auto"/>
        <w:ind w:leftChars="0" w:firstLine="616" w:firstLineChars="200"/>
        <w:jc w:val="left"/>
        <w:rPr>
          <w:rFonts w:hint="eastAsia" w:ascii="Times New Roman" w:hAnsi="Times New Roman" w:eastAsia="仿宋_GB2312" w:cs="仿宋_GB2312"/>
          <w:color w:val="1F2329"/>
          <w:spacing w:val="-6"/>
          <w:kern w:val="0"/>
          <w:sz w:val="32"/>
          <w:szCs w:val="32"/>
          <w:lang w:val="en-US" w:eastAsia="zh-CN"/>
        </w:rPr>
      </w:pPr>
    </w:p>
    <w:p w14:paraId="764305A8">
      <w:pPr>
        <w:pStyle w:val="17"/>
        <w:widowControl/>
        <w:ind w:left="1524" w:leftChars="195" w:hanging="924" w:hangingChars="300"/>
        <w:jc w:val="both"/>
        <w:rPr>
          <w:rFonts w:ascii="Times New Roman" w:hAnsi="Times New Roman" w:eastAsia="仿宋_GB2312" w:cs="仿宋_GB2312"/>
          <w:color w:val="1F2329"/>
          <w:spacing w:val="-6"/>
          <w:sz w:val="32"/>
          <w:szCs w:val="32"/>
        </w:rPr>
      </w:pPr>
      <mc:AlternateContent>
        <mc:Choice Requires="wpsCustomData">
          <wpsCustomData:docfieldStart id="1" docfieldname="附件说明_1" hidden="0" print="1" readonly="0" index="9"/>
        </mc:Choice>
      </mc:AlternateContent>
      <w:r>
        <w:rPr>
          <w:rFonts w:ascii="Times New Roman" w:hAnsi="Times New Roman" w:eastAsia="仿宋_GB2312" w:cs="仿宋_GB2312"/>
          <w:color w:val="1F2329"/>
          <w:spacing w:val="-6"/>
          <w:sz w:val="32"/>
          <w:szCs w:val="32"/>
        </w:rPr>
        <w:t>附件：河南省建设工程质量监督检测行业协会分支机构（代表机构）考核办法</w:t>
      </w:r>
    </w:p>
    <w:p w14:paraId="4F024AFA">
      <w:pPr>
        <w:pStyle w:val="17"/>
        <w:widowControl/>
        <w:ind w:left="1524" w:leftChars="195" w:hanging="924" w:hangingChars="300"/>
        <w:jc w:val="left"/>
        <w:rPr>
          <w:rFonts w:ascii="Times New Roman" w:hAnsi="Times New Roman" w:eastAsia="仿宋_GB2312" w:cs="仿宋_GB2312"/>
          <w:color w:val="1F2329"/>
          <w:spacing w:val="-6"/>
          <w:sz w:val="32"/>
          <w:szCs w:val="32"/>
        </w:rPr>
      </w:pPr>
    </w:p>
    <w:p w14:paraId="00FB36A6">
      <w:pPr>
        <w:keepNext w:val="0"/>
        <w:keepLines w:val="0"/>
        <w:widowControl/>
        <w:suppressLineNumbers w:val="0"/>
        <w:spacing w:line="240" w:lineRule="auto"/>
        <w:jc w:val="center"/>
        <w:rPr>
          <w:rFonts w:hint="default" w:ascii="Times New Roman" w:hAnsi="Times New Roman" w:eastAsia="仿宋_GB2312" w:cs="仿宋_GB2312"/>
          <w:color w:val="1F2329"/>
          <w:spacing w:val="-6"/>
          <w:kern w:val="0"/>
          <w:sz w:val="32"/>
          <w:szCs w:val="32"/>
          <w:lang w:val="en-US" w:eastAsia="zh-CN"/>
        </w:rPr>
      </w:pPr>
      <w:r>
        <w:rPr>
          <w:rFonts w:hint="eastAsia" w:ascii="Times New Roman" w:hAnsi="Times New Roman" w:cs="仿宋_GB2312"/>
          <w:color w:val="1F2329"/>
          <w:spacing w:val="-6"/>
          <w:kern w:val="0"/>
          <w:sz w:val="32"/>
          <w:szCs w:val="32"/>
          <w:lang w:val="en-US" w:eastAsia="zh-CN"/>
        </w:rPr>
        <w:t xml:space="preserve">                       </w:t>
      </w:r>
      <w:r>
        <w:rPr>
          <w:rFonts w:hint="eastAsia" w:ascii="Times New Roman" w:hAnsi="Times New Roman" w:eastAsia="仿宋_GB2312" w:cs="仿宋_GB2312"/>
          <w:color w:val="1F2329"/>
          <w:spacing w:val="-6"/>
          <w:kern w:val="0"/>
          <w:sz w:val="32"/>
          <w:szCs w:val="32"/>
          <w:lang w:val="en-US" w:eastAsia="zh-CN"/>
        </w:rPr>
        <w:t>2026年3月25日</w:t>
      </w:r>
    </w:p>
    <w:p w14:paraId="4649AB8A">
      <w:pPr>
        <w:pStyle w:val="12"/>
        <w:bidi w:val="0"/>
      </w:pPr>
    </w:p>
    <w:p w14:paraId="267D84A1">
      <w:pPr>
        <w:pStyle w:val="17"/>
        <w:widowControl/>
        <w:ind w:left="1524" w:leftChars="195" w:hanging="924" w:hangingChars="300"/>
        <w:jc w:val="both"/>
        <w:rPr>
          <w:rFonts w:ascii="Times New Roman" w:hAnsi="Times New Roman" w:eastAsia="仿宋_GB2312" w:cs="仿宋_GB2312"/>
          <w:color w:val="1F2329"/>
          <w:spacing w:val="-6"/>
          <w:sz w:val="32"/>
          <w:szCs w:val="32"/>
        </w:rPr>
      </w:pPr>
    </w:p>
    <mc:AlternateContent>
      <mc:Choice Requires="wpsCustomData">
        <wpsCustomData:docfieldEnd id="1"/>
      </mc:Choice>
    </mc:AlternateContent>
    <w:p w14:paraId="49717E6D">
      <w:pPr>
        <w:keepNext w:val="0"/>
        <w:keepLines w:val="0"/>
        <w:widowControl/>
        <w:suppressLineNumbers w:val="0"/>
        <w:spacing w:line="240" w:lineRule="auto"/>
        <w:ind w:leftChars="0" w:firstLine="616" w:firstLineChars="200"/>
        <w:jc w:val="left"/>
        <w:rPr>
          <w:rFonts w:hint="eastAsia" w:ascii="Times New Roman" w:hAnsi="Times New Roman" w:eastAsia="仿宋_GB2312" w:cs="仿宋_GB2312"/>
          <w:color w:val="1F2329"/>
          <w:spacing w:val="-6"/>
          <w:kern w:val="0"/>
          <w:sz w:val="32"/>
          <w:szCs w:val="32"/>
          <w:lang w:val="en-US" w:eastAsia="zh-CN"/>
        </w:rPr>
      </w:pPr>
    </w:p>
    <w:p w14:paraId="01C7E1E9">
      <w:pPr>
        <w:pStyle w:val="12"/>
        <w:widowControl/>
        <w:pBdr>
          <w:top w:val="none" w:color="auto" w:sz="0" w:space="0"/>
          <w:left w:val="none" w:color="auto" w:sz="0" w:space="0"/>
          <w:bottom w:val="none" w:color="auto" w:sz="0" w:space="0"/>
          <w:right w:val="none" w:color="auto" w:sz="0" w:space="0"/>
        </w:pBdr>
        <w:ind w:left="1540" w:hanging="924" w:firstLineChars="0"/>
        <w:rPr>
          <w:rFonts w:ascii="Times New Roman" w:hAnsi="Times New Roman" w:eastAsia="仿宋_GB2312" w:cs="仿宋_GB2312"/>
          <w:color w:val="1F2329"/>
          <w:sz w:val="32"/>
          <w:szCs w:val="32"/>
        </w:rPr>
      </w:pPr>
    </w:p>
    <w:p w14:paraId="3632DFC7">
      <w:pPr>
        <w:pStyle w:val="12"/>
        <w:bidi w:val="0"/>
      </w:pPr>
    </w:p>
    <w:p w14:paraId="02F2EA2E">
      <w:pPr>
        <w:pStyle w:val="12"/>
        <w:bidi w:val="0"/>
      </w:pPr>
    </w:p>
    <w:p w14:paraId="260237F2">
      <w:pPr>
        <w:pStyle w:val="12"/>
        <w:bidi w:val="0"/>
      </w:pPr>
    </w:p>
    <w:p w14:paraId="75A5C5B8">
      <w:pPr>
        <w:pStyle w:val="12"/>
        <w:bidi w:val="0"/>
      </w:pPr>
    </w:p>
    <w:p w14:paraId="41871006">
      <w:pPr>
        <w:pStyle w:val="12"/>
        <w:bidi w:val="0"/>
      </w:pPr>
    </w:p>
    <w:p w14:paraId="16391830">
      <w:pPr>
        <w:pStyle w:val="12"/>
        <w:bidi w:val="0"/>
      </w:pPr>
    </w:p>
    <w:p w14:paraId="449E74B5">
      <w:pPr>
        <w:pStyle w:val="12"/>
        <w:bidi w:val="0"/>
      </w:pPr>
    </w:p>
    <w:p w14:paraId="7649E729">
      <w:pPr>
        <w:pStyle w:val="12"/>
        <w:bidi w:val="0"/>
      </w:pPr>
    </w:p>
    <w:p w14:paraId="7B9CC704">
      <w:pPr>
        <w:pStyle w:val="12"/>
        <w:bidi w:val="0"/>
      </w:pPr>
    </w:p>
    <w:p w14:paraId="220BCDDC">
      <w:pPr>
        <w:pStyle w:val="12"/>
        <w:bidi w:val="0"/>
      </w:pPr>
    </w:p>
    <w:p w14:paraId="4FA41465">
      <w:pPr>
        <w:pStyle w:val="12"/>
        <w:bidi w:val="0"/>
      </w:pPr>
    </w:p>
    <w:p w14:paraId="74018C75">
      <w:pPr>
        <w:pStyle w:val="12"/>
        <w:bidi w:val="0"/>
      </w:pPr>
    </w:p>
    <w:p w14:paraId="05CFD7B5">
      <w:pPr>
        <w:pStyle w:val="12"/>
        <w:bidi w:val="0"/>
      </w:pPr>
    </w:p>
    <w:p w14:paraId="43867F09">
      <w:pPr>
        <w:pStyle w:val="12"/>
        <w:bidi w:val="0"/>
      </w:pPr>
    </w:p>
    <w:p w14:paraId="310F6C1C">
      <w:pPr>
        <w:pStyle w:val="12"/>
        <w:bidi w:val="0"/>
      </w:pPr>
    </w:p>
    <w:p w14:paraId="745364B9">
      <w:pPr>
        <w:pStyle w:val="12"/>
        <w:bidi w:val="0"/>
      </w:pPr>
    </w:p>
    <w:p w14:paraId="3FE2F966">
      <w:pPr>
        <w:pStyle w:val="17"/>
        <w:widowControl/>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rPr>
        <w:t>河南省建设工程质量监督检测行业协会</w:t>
      </w:r>
    </w:p>
    <w:p w14:paraId="36ED36AF">
      <w:pPr>
        <w:pStyle w:val="17"/>
        <w:widowControl/>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rPr>
        <w:t>分支机构（代表机构）考核办法</w:t>
      </w:r>
    </w:p>
    <w:p w14:paraId="11D3561C">
      <w:pPr>
        <w:pStyle w:val="12"/>
        <w:bidi w:val="0"/>
        <w:spacing w:beforeAutospacing="0" w:afterAutospacing="0" w:line="300" w:lineRule="exact"/>
      </w:pPr>
    </w:p>
    <w:p w14:paraId="2A04D7EC">
      <w:pPr>
        <w:pStyle w:val="21"/>
        <w:widowControl/>
        <w:numPr>
          <w:ilvl w:val="0"/>
          <w:numId w:val="0"/>
        </w:numPr>
        <w:ind w:left="0" w:leftChars="0" w:firstLine="0" w:firstLineChars="0"/>
        <w:rPr>
          <w:b w:val="0"/>
        </w:rPr>
      </w:pPr>
      <w:r>
        <w:rPr>
          <w:rFonts w:hint="eastAsia" w:ascii="黑体" w:hAnsi="黑体" w:eastAsia="黑体" w:cs="黑体"/>
          <w:b w:val="0"/>
          <w:bCs/>
          <w:spacing w:val="-6"/>
          <w:kern w:val="44"/>
          <w:sz w:val="32"/>
          <w:szCs w:val="32"/>
          <w:lang w:bidi="ar-SA"/>
        </w:rPr>
        <w:t>第一章</w:t>
      </w:r>
      <w:r>
        <w:rPr>
          <w:rFonts w:hint="eastAsia" w:cs="黑体"/>
          <w:b w:val="0"/>
          <w:bCs/>
          <w:spacing w:val="-6"/>
          <w:kern w:val="44"/>
          <w:sz w:val="32"/>
          <w:szCs w:val="32"/>
          <w:lang w:val="en-US" w:eastAsia="zh-CN" w:bidi="ar-SA"/>
        </w:rPr>
        <w:t xml:space="preserve">  </w:t>
      </w:r>
      <w:r>
        <w:t>总则</w:t>
      </w:r>
    </w:p>
    <w:p w14:paraId="0CB028BC">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rFonts w:hint="eastAsia" w:ascii="仿宋_GB2312" w:hAnsi="仿宋_GB2312" w:eastAsia="仿宋_GB2312" w:cs="仿宋_GB2312"/>
          <w:b/>
          <w:color w:val="1F2329"/>
        </w:rPr>
      </w:pPr>
      <w:r>
        <w:rPr>
          <w:rFonts w:hint="eastAsia" w:ascii="仿宋_GB2312" w:hAnsi="仿宋_GB2312" w:eastAsia="仿宋_GB2312" w:cs="仿宋_GB2312"/>
          <w:b/>
          <w:color w:val="1F2329"/>
          <w:spacing w:val="-6"/>
          <w:kern w:val="2"/>
          <w:sz w:val="32"/>
          <w:szCs w:val="32"/>
          <w:lang w:val="en-US" w:eastAsia="zh-CN" w:bidi="ar-SA"/>
        </w:rPr>
        <w:t>第一条</w:t>
      </w:r>
      <w:r>
        <w:rPr>
          <w:rFonts w:hint="eastAsia" w:ascii="仿宋_GB2312" w:hAnsi="仿宋_GB2312" w:cs="仿宋_GB2312"/>
          <w:b/>
          <w:color w:val="1F2329"/>
          <w:spacing w:val="-6"/>
          <w:kern w:val="2"/>
          <w:sz w:val="32"/>
          <w:szCs w:val="32"/>
          <w:lang w:val="en-US" w:eastAsia="zh-CN" w:bidi="ar-SA"/>
        </w:rPr>
        <w:t xml:space="preserve"> </w:t>
      </w:r>
      <w:r>
        <w:rPr>
          <w:color w:val="1F2329"/>
        </w:rPr>
        <w:t>为进一步加强河南省建设工程质量监督检测行业协会（以下简称 “协会”）分支机构（代表机构）的规范化管理，依据《河南省建设工程质量监督检测行业协会章程》《河南省建设工程质量监督检测行业协会分支机构、代表机构管理暂行办法》（豫建检协〔2023〕19 号）</w:t>
      </w:r>
      <w:r>
        <w:rPr>
          <w:rFonts w:hint="eastAsia"/>
          <w:color w:val="1F2329"/>
          <w:lang w:val="en-US" w:eastAsia="zh-CN"/>
        </w:rPr>
        <w:t>有关</w:t>
      </w:r>
      <w:r>
        <w:rPr>
          <w:color w:val="1F2329"/>
        </w:rPr>
        <w:t>规定，制定本办法。</w:t>
      </w:r>
    </w:p>
    <w:p w14:paraId="4219AEBD">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rFonts w:hint="eastAsia" w:ascii="仿宋_GB2312" w:hAnsi="仿宋_GB2312" w:eastAsia="仿宋_GB2312" w:cs="仿宋_GB2312"/>
          <w:b/>
          <w:color w:val="1F2329"/>
        </w:rPr>
      </w:pPr>
      <w:r>
        <w:rPr>
          <w:rFonts w:hint="eastAsia" w:ascii="仿宋_GB2312" w:hAnsi="仿宋_GB2312" w:eastAsia="仿宋_GB2312" w:cs="仿宋_GB2312"/>
          <w:b/>
          <w:color w:val="1F2329"/>
          <w:spacing w:val="-6"/>
          <w:kern w:val="2"/>
          <w:sz w:val="32"/>
          <w:szCs w:val="32"/>
          <w:lang w:val="en-US" w:eastAsia="zh-CN" w:bidi="ar-SA"/>
        </w:rPr>
        <w:t>第二条</w:t>
      </w:r>
      <w:r>
        <w:rPr>
          <w:rFonts w:hint="eastAsia" w:ascii="仿宋_GB2312" w:hAnsi="仿宋_GB2312" w:cs="仿宋_GB2312"/>
          <w:b/>
          <w:color w:val="1F2329"/>
          <w:spacing w:val="-6"/>
          <w:kern w:val="2"/>
          <w:sz w:val="32"/>
          <w:szCs w:val="32"/>
          <w:lang w:val="en-US" w:eastAsia="zh-CN" w:bidi="ar-SA"/>
        </w:rPr>
        <w:t xml:space="preserve"> </w:t>
      </w:r>
      <w:r>
        <w:rPr>
          <w:color w:val="1F2329"/>
        </w:rPr>
        <w:t>本办法适用于协会所属各类分支机构（代表机构），包括经常务理事会审议批准成立的各专业委员会、分会、会员服务联络处等</w:t>
      </w:r>
      <w:r>
        <w:rPr>
          <w:rFonts w:hint="eastAsia"/>
          <w:color w:val="1F2329"/>
          <w:lang w:eastAsia="zh-CN"/>
        </w:rPr>
        <w:t>，</w:t>
      </w:r>
      <w:r>
        <w:rPr>
          <w:rFonts w:hint="eastAsia"/>
          <w:color w:val="1F2329"/>
          <w:lang w:val="en-US" w:eastAsia="zh-CN"/>
        </w:rPr>
        <w:t>以下统称分支机构</w:t>
      </w:r>
      <w:r>
        <w:rPr>
          <w:color w:val="1F2329"/>
        </w:rPr>
        <w:t>。</w:t>
      </w:r>
    </w:p>
    <w:p w14:paraId="6F33DE69">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rFonts w:hint="eastAsia" w:ascii="仿宋_GB2312" w:hAnsi="仿宋_GB2312" w:eastAsia="仿宋_GB2312" w:cs="仿宋_GB2312"/>
          <w:b/>
          <w:color w:val="1F2329"/>
        </w:rPr>
      </w:pPr>
      <w:r>
        <w:rPr>
          <w:rFonts w:hint="eastAsia" w:ascii="仿宋_GB2312" w:hAnsi="仿宋_GB2312" w:eastAsia="仿宋_GB2312" w:cs="仿宋_GB2312"/>
          <w:b/>
          <w:color w:val="1F2329"/>
          <w:spacing w:val="-6"/>
          <w:kern w:val="2"/>
          <w:sz w:val="32"/>
          <w:szCs w:val="32"/>
          <w:lang w:val="en-US" w:eastAsia="zh-CN" w:bidi="ar-SA"/>
        </w:rPr>
        <w:t>第三条</w:t>
      </w:r>
      <w:r>
        <w:rPr>
          <w:rFonts w:hint="eastAsia" w:ascii="仿宋_GB2312" w:hAnsi="仿宋_GB2312" w:cs="仿宋_GB2312"/>
          <w:b/>
          <w:color w:val="1F2329"/>
          <w:spacing w:val="-6"/>
          <w:kern w:val="2"/>
          <w:sz w:val="32"/>
          <w:szCs w:val="32"/>
          <w:lang w:val="en-US" w:eastAsia="zh-CN" w:bidi="ar-SA"/>
        </w:rPr>
        <w:t xml:space="preserve"> </w:t>
      </w:r>
      <w:r>
        <w:rPr>
          <w:color w:val="1F2329"/>
        </w:rPr>
        <w:t>考核坚持 “客观公正、实事求是、注重实绩、激励提升” 的原则，突出工作实效、行业贡献和社会责任。</w:t>
      </w:r>
    </w:p>
    <w:p w14:paraId="3CC89DE1">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rFonts w:hint="eastAsia" w:ascii="仿宋_GB2312" w:hAnsi="仿宋_GB2312" w:eastAsia="仿宋_GB2312" w:cs="仿宋_GB2312"/>
          <w:b/>
          <w:color w:val="1F2329"/>
        </w:rPr>
      </w:pPr>
      <w:r>
        <w:rPr>
          <w:rFonts w:hint="eastAsia" w:ascii="仿宋_GB2312" w:hAnsi="仿宋_GB2312" w:eastAsia="仿宋_GB2312" w:cs="仿宋_GB2312"/>
          <w:b/>
          <w:color w:val="1F2329"/>
          <w:spacing w:val="-6"/>
          <w:kern w:val="2"/>
          <w:sz w:val="32"/>
          <w:szCs w:val="32"/>
          <w:lang w:val="en-US" w:eastAsia="zh-CN" w:bidi="ar-SA"/>
        </w:rPr>
        <w:t>第四条</w:t>
      </w:r>
      <w:r>
        <w:rPr>
          <w:rFonts w:hint="eastAsia" w:ascii="仿宋_GB2312" w:hAnsi="仿宋_GB2312" w:cs="仿宋_GB2312"/>
          <w:b/>
          <w:color w:val="1F2329"/>
          <w:spacing w:val="-6"/>
          <w:kern w:val="2"/>
          <w:sz w:val="32"/>
          <w:szCs w:val="32"/>
          <w:lang w:val="en-US" w:eastAsia="zh-CN" w:bidi="ar-SA"/>
        </w:rPr>
        <w:t xml:space="preserve"> </w:t>
      </w:r>
      <w:r>
        <w:rPr>
          <w:color w:val="1F2329"/>
        </w:rPr>
        <w:t>考核结合年度工作</w:t>
      </w:r>
      <w:r>
        <w:rPr>
          <w:rFonts w:hint="eastAsia"/>
          <w:color w:val="1F2329"/>
          <w:lang w:val="en-US" w:eastAsia="zh-CN"/>
        </w:rPr>
        <w:t>计划</w:t>
      </w:r>
      <w:r>
        <w:rPr>
          <w:color w:val="1F2329"/>
        </w:rPr>
        <w:t>，实行定性评议与定量评分相结合的综合考评方式。</w:t>
      </w:r>
    </w:p>
    <w:p w14:paraId="61E995A9">
      <w:pPr>
        <w:pStyle w:val="21"/>
        <w:widowControl/>
        <w:numPr>
          <w:ilvl w:val="0"/>
          <w:numId w:val="0"/>
        </w:numPr>
        <w:ind w:left="0" w:leftChars="0" w:firstLine="0" w:firstLineChars="0"/>
        <w:rPr>
          <w:b w:val="0"/>
        </w:rPr>
      </w:pPr>
      <w:r>
        <w:rPr>
          <w:rFonts w:hint="eastAsia" w:ascii="黑体" w:hAnsi="黑体" w:eastAsia="黑体" w:cs="黑体"/>
          <w:b w:val="0"/>
          <w:bCs/>
          <w:spacing w:val="-6"/>
          <w:kern w:val="44"/>
          <w:sz w:val="32"/>
          <w:szCs w:val="32"/>
          <w:lang w:bidi="ar-SA"/>
        </w:rPr>
        <w:t>第二章</w:t>
      </w:r>
      <w:r>
        <w:rPr>
          <w:rFonts w:hint="eastAsia" w:cs="黑体"/>
          <w:b w:val="0"/>
          <w:bCs/>
          <w:spacing w:val="-6"/>
          <w:kern w:val="44"/>
          <w:sz w:val="32"/>
          <w:szCs w:val="32"/>
          <w:lang w:val="en-US" w:eastAsia="zh-CN" w:bidi="ar-SA"/>
        </w:rPr>
        <w:t xml:space="preserve">  </w:t>
      </w:r>
      <w:r>
        <w:t>考核内容及评分标准</w:t>
      </w:r>
    </w:p>
    <w:p w14:paraId="4CC525CD">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rFonts w:hint="eastAsia" w:ascii="仿宋_GB2312" w:hAnsi="仿宋_GB2312" w:eastAsia="仿宋_GB2312" w:cs="仿宋_GB2312"/>
          <w:b/>
          <w:color w:val="1F2329"/>
        </w:rPr>
      </w:pPr>
      <w:r>
        <w:rPr>
          <w:rFonts w:hint="eastAsia" w:ascii="仿宋_GB2312" w:hAnsi="仿宋_GB2312" w:eastAsia="仿宋_GB2312" w:cs="仿宋_GB2312"/>
          <w:b/>
          <w:color w:val="1F2329"/>
          <w:spacing w:val="-6"/>
          <w:kern w:val="2"/>
          <w:sz w:val="32"/>
          <w:szCs w:val="32"/>
          <w:lang w:val="en-US" w:eastAsia="zh-CN" w:bidi="ar-SA"/>
        </w:rPr>
        <w:t>第五条</w:t>
      </w:r>
      <w:r>
        <w:rPr>
          <w:rFonts w:hint="eastAsia" w:ascii="仿宋_GB2312" w:hAnsi="仿宋_GB2312" w:cs="仿宋_GB2312"/>
          <w:b/>
          <w:color w:val="1F2329"/>
          <w:spacing w:val="-6"/>
          <w:kern w:val="2"/>
          <w:sz w:val="32"/>
          <w:szCs w:val="32"/>
          <w:lang w:val="en-US" w:eastAsia="zh-CN" w:bidi="ar-SA"/>
        </w:rPr>
        <w:t xml:space="preserve"> </w:t>
      </w:r>
      <w:r>
        <w:rPr>
          <w:color w:val="1F2329"/>
        </w:rPr>
        <w:t>考核内容涵盖组织建设、业务开展、执行落实</w:t>
      </w:r>
      <w:r>
        <w:rPr>
          <w:rFonts w:hint="eastAsia"/>
          <w:color w:val="1F2329"/>
          <w:lang w:val="en-US" w:eastAsia="zh-CN"/>
        </w:rPr>
        <w:t>三个</w:t>
      </w:r>
      <w:r>
        <w:rPr>
          <w:color w:val="1F2329"/>
        </w:rPr>
        <w:t>方面。</w:t>
      </w:r>
    </w:p>
    <w:p w14:paraId="615AFEF8">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8" w:firstLineChars="0"/>
        <w:textAlignment w:val="auto"/>
        <w:rPr>
          <w:rFonts w:hint="eastAsia" w:ascii="仿宋_GB2312" w:hAnsi="仿宋_GB2312" w:eastAsia="仿宋_GB2312" w:cs="仿宋_GB2312"/>
          <w:b/>
          <w:color w:val="1F2329"/>
        </w:rPr>
      </w:pPr>
      <w:r>
        <w:rPr>
          <w:rFonts w:hint="eastAsia" w:ascii="仿宋_GB2312" w:hAnsi="仿宋_GB2312" w:eastAsia="仿宋_GB2312" w:cs="仿宋_GB2312"/>
          <w:b/>
          <w:color w:val="1F2329"/>
          <w:spacing w:val="-6"/>
          <w:kern w:val="2"/>
          <w:sz w:val="32"/>
          <w:szCs w:val="32"/>
          <w:lang w:val="en-US" w:eastAsia="zh-CN" w:bidi="ar-SA"/>
        </w:rPr>
        <w:t>第六条</w:t>
      </w:r>
      <w:r>
        <w:rPr>
          <w:rFonts w:hint="eastAsia" w:ascii="仿宋_GB2312" w:hAnsi="仿宋_GB2312" w:cs="仿宋_GB2312"/>
          <w:b/>
          <w:color w:val="1F2329"/>
          <w:spacing w:val="-6"/>
          <w:kern w:val="2"/>
          <w:sz w:val="32"/>
          <w:szCs w:val="32"/>
          <w:lang w:val="en-US" w:eastAsia="zh-CN" w:bidi="ar-SA"/>
        </w:rPr>
        <w:t xml:space="preserve"> </w:t>
      </w:r>
      <w:r>
        <w:rPr>
          <w:rFonts w:hint="eastAsia"/>
          <w:color w:val="1F2329"/>
          <w:lang w:val="en-US" w:eastAsia="zh-CN"/>
        </w:rPr>
        <w:t>组织建设</w:t>
      </w:r>
    </w:p>
    <w:p w14:paraId="2C25E07D">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8" w:firstLineChars="0"/>
        <w:textAlignment w:val="auto"/>
        <w:rPr>
          <w:color w:val="1F2329"/>
        </w:rPr>
      </w:pPr>
      <w:r>
        <w:rPr>
          <w:rFonts w:hint="eastAsia" w:ascii="Times New Roman" w:hAnsi="Times New Roman" w:eastAsia="仿宋_GB2312" w:cs="仿宋_GB2312"/>
          <w:color w:val="1F2329"/>
          <w:spacing w:val="-6"/>
          <w:kern w:val="2"/>
          <w:sz w:val="32"/>
          <w:szCs w:val="32"/>
          <w:lang w:val="en-US" w:eastAsia="zh-CN" w:bidi="ar-SA"/>
        </w:rPr>
        <w:t>（一）</w:t>
      </w:r>
      <w:r>
        <w:rPr>
          <w:color w:val="1F2329"/>
          <w:lang w:val="en-US" w:eastAsia="zh-CN"/>
        </w:rPr>
        <w:t>完善组织架构，按规定配备主任、副主任、秘书长，负责人经协会按程序审批产生，岗位职责清晰、运转高效；严格遵守国家法律法规及主管部门相关规定，恪守协会章程及各项管理制度，无违规违纪行为。</w:t>
      </w:r>
    </w:p>
    <w:p w14:paraId="0C4DB3BC">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8" w:firstLineChars="0"/>
        <w:textAlignment w:val="auto"/>
        <w:rPr>
          <w:color w:val="1F2329"/>
        </w:rPr>
      </w:pPr>
      <w:r>
        <w:rPr>
          <w:rFonts w:hint="eastAsia" w:ascii="Times New Roman" w:hAnsi="Times New Roman" w:eastAsia="仿宋_GB2312" w:cs="仿宋_GB2312"/>
          <w:color w:val="1F2329"/>
          <w:spacing w:val="-6"/>
          <w:kern w:val="2"/>
          <w:sz w:val="32"/>
          <w:szCs w:val="32"/>
          <w:lang w:val="en-US" w:eastAsia="zh-CN" w:bidi="ar-SA"/>
        </w:rPr>
        <w:t>（二）</w:t>
      </w:r>
      <w:r>
        <w:rPr>
          <w:color w:val="1F2329"/>
          <w:lang w:val="en-US" w:eastAsia="zh-CN"/>
        </w:rPr>
        <w:t>构建规范化制度体系，保障各项工作有序推进。</w:t>
      </w:r>
    </w:p>
    <w:p w14:paraId="79A851BC">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8" w:firstLineChars="0"/>
        <w:textAlignment w:val="auto"/>
        <w:rPr>
          <w:color w:val="1F2329"/>
        </w:rPr>
      </w:pPr>
      <w:r>
        <w:rPr>
          <w:rFonts w:hint="eastAsia" w:ascii="Times New Roman" w:hAnsi="Times New Roman" w:eastAsia="仿宋_GB2312" w:cs="仿宋_GB2312"/>
          <w:color w:val="1F2329"/>
          <w:spacing w:val="-6"/>
          <w:kern w:val="2"/>
          <w:sz w:val="32"/>
          <w:szCs w:val="32"/>
          <w:lang w:val="en-US" w:eastAsia="zh-CN" w:bidi="ar-SA"/>
        </w:rPr>
        <w:t>（三）</w:t>
      </w:r>
      <w:r>
        <w:rPr>
          <w:color w:val="1F2329"/>
          <w:spacing wpsCustomData:val="-6" w:val="1"/>
          <w:lang w:val="en-US" w:eastAsia="zh-CN"/>
        </w:rPr>
        <w:t>健全沟通机制，确保行业信息传递及时、渠道畅</w:t>
      </w:r>
      <w:r>
        <w:rPr>
          <w:color w:val="1F2329"/>
          <w:spacing wpsCustomData:val="-6" w:val="-6"/>
          <w:lang w:val="en-US" w:eastAsia="zh-CN"/>
        </w:rPr>
        <w:t>通</w:t>
      </w:r>
      <w:r>
        <w:rPr>
          <w:color w:val="1F2329"/>
          <w:lang w:val="en-US" w:eastAsia="zh-CN"/>
        </w:rPr>
        <w:t>高效</w:t>
      </w:r>
      <w:r>
        <w:rPr>
          <w:rFonts w:hint="eastAsia"/>
          <w:color w:val="1F2329"/>
          <w:lang w:val="en-US" w:eastAsia="zh-CN"/>
        </w:rPr>
        <w:t>。</w:t>
      </w:r>
    </w:p>
    <w:p w14:paraId="0AEE78BB">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ind w:left="0" w:leftChars="0" w:firstLine="618" w:firstLineChars="0"/>
        <w:textAlignment w:val="auto"/>
        <w:rPr>
          <w:rFonts w:hint="eastAsia" w:ascii="仿宋_GB2312" w:hAnsi="仿宋_GB2312" w:eastAsia="仿宋_GB2312" w:cs="仿宋_GB2312"/>
          <w:b/>
          <w:color w:val="1F2329"/>
        </w:rPr>
      </w:pPr>
      <w:r>
        <w:rPr>
          <w:rFonts w:hint="eastAsia" w:ascii="仿宋_GB2312" w:hAnsi="仿宋_GB2312" w:eastAsia="仿宋_GB2312" w:cs="仿宋_GB2312"/>
          <w:b/>
          <w:color w:val="1F2329"/>
          <w:spacing w:val="-6"/>
          <w:kern w:val="2"/>
          <w:sz w:val="32"/>
          <w:szCs w:val="32"/>
          <w:lang w:val="en-US" w:eastAsia="zh-CN" w:bidi="ar-SA"/>
        </w:rPr>
        <w:t>第七条</w:t>
      </w:r>
      <w:r>
        <w:rPr>
          <w:rFonts w:hint="eastAsia" w:ascii="仿宋_GB2312" w:hAnsi="仿宋_GB2312" w:cs="仿宋_GB2312"/>
          <w:b/>
          <w:color w:val="1F2329"/>
          <w:spacing w:val="-6"/>
          <w:kern w:val="2"/>
          <w:sz w:val="32"/>
          <w:szCs w:val="32"/>
          <w:lang w:val="en-US" w:eastAsia="zh-CN" w:bidi="ar-SA"/>
        </w:rPr>
        <w:t xml:space="preserve"> </w:t>
      </w:r>
      <w:r>
        <w:rPr>
          <w:rFonts w:hint="eastAsia"/>
          <w:color w:val="1F2329"/>
          <w:lang w:val="en-US" w:eastAsia="zh-CN"/>
        </w:rPr>
        <w:t>业务开展</w:t>
      </w:r>
      <w:r>
        <w:rPr>
          <w:color w:val="1F2329"/>
        </w:rPr>
        <w:t xml:space="preserve"> </w:t>
      </w:r>
    </w:p>
    <w:p w14:paraId="72CDAFF2">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color w:val="1F2329"/>
          <w:lang w:val="en-US" w:eastAsia="zh-CN"/>
        </w:rPr>
      </w:pPr>
      <w:r>
        <w:rPr>
          <w:rFonts w:hint="eastAsia" w:ascii="Times New Roman" w:hAnsi="Times New Roman" w:eastAsia="仿宋_GB2312" w:cs="仿宋_GB2312"/>
          <w:color w:val="1F2329"/>
          <w:spacing w:val="-6"/>
          <w:kern w:val="2"/>
          <w:sz w:val="32"/>
          <w:szCs w:val="32"/>
          <w:lang w:val="en-US" w:eastAsia="zh-CN" w:bidi="ar-SA"/>
        </w:rPr>
        <w:t>（一）</w:t>
      </w:r>
      <w:r>
        <w:rPr>
          <w:rFonts w:hint="eastAsia"/>
          <w:color w:val="1F2329"/>
          <w:lang w:val="en-US" w:eastAsia="zh-CN"/>
        </w:rPr>
        <w:t>严格</w:t>
      </w:r>
      <w:r>
        <w:rPr>
          <w:color w:val="1F2329"/>
          <w:lang w:val="en-US" w:eastAsia="zh-CN"/>
        </w:rPr>
        <w:t>在协会授权范围内</w:t>
      </w:r>
      <w:r>
        <w:rPr>
          <w:rFonts w:hint="default"/>
          <w:color w:val="1F2329"/>
          <w:lang w:val="en-US" w:eastAsia="zh-CN"/>
        </w:rPr>
        <w:t>开展</w:t>
      </w:r>
      <w:r>
        <w:rPr>
          <w:color w:val="1F2329"/>
          <w:lang w:val="en-US" w:eastAsia="zh-CN"/>
        </w:rPr>
        <w:t>活动，严禁擅自以协会名义办活动、强制企业入会等行为</w:t>
      </w:r>
      <w:r>
        <w:rPr>
          <w:rFonts w:hint="eastAsia"/>
          <w:color w:val="1F2329"/>
          <w:lang w:val="en-US" w:eastAsia="zh-CN"/>
        </w:rPr>
        <w:t>。</w:t>
      </w:r>
    </w:p>
    <w:p w14:paraId="0A5C9E7C">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color w:val="1F2329"/>
          <w:lang w:val="en-US" w:eastAsia="zh-CN"/>
        </w:rPr>
      </w:pPr>
      <w:r>
        <w:rPr>
          <w:rFonts w:hint="eastAsia" w:ascii="Times New Roman" w:hAnsi="Times New Roman" w:eastAsia="仿宋_GB2312" w:cs="仿宋_GB2312"/>
          <w:color w:val="1F2329"/>
          <w:spacing w:val="-6"/>
          <w:kern w:val="2"/>
          <w:sz w:val="32"/>
          <w:szCs w:val="32"/>
          <w:lang w:val="en-US" w:eastAsia="zh-CN" w:bidi="ar-SA"/>
        </w:rPr>
        <w:t>（二）</w:t>
      </w:r>
      <w:r>
        <w:rPr>
          <w:color w:val="1F2329"/>
          <w:lang w:val="en-US" w:eastAsia="zh-CN"/>
        </w:rPr>
        <w:t>制定年度计划，明确内容、目标及举措，严格推进</w:t>
      </w:r>
      <w:r>
        <w:rPr>
          <w:color w:val="1F2329"/>
          <w:spacing wpsCustomData:val="-6" w:val="0"/>
          <w:lang w:val="en-US" w:eastAsia="zh-CN"/>
        </w:rPr>
        <w:t>计划落地，确保服务成效</w:t>
      </w:r>
      <w:r>
        <w:rPr>
          <w:rFonts w:hint="eastAsia"/>
          <w:color w:val="1F2329"/>
          <w:spacing wpsCustomData:val="-6" w:val="0"/>
          <w:lang w:val="en-US" w:eastAsia="zh-CN"/>
        </w:rPr>
        <w:t>，按要求</w:t>
      </w:r>
      <w:r>
        <w:rPr>
          <w:color w:val="1F2329"/>
          <w:spacing wpsCustomData:val="-6" w:val="0"/>
          <w:lang w:val="en-US" w:eastAsia="zh-CN"/>
        </w:rPr>
        <w:t>报送</w:t>
      </w:r>
      <w:r>
        <w:rPr>
          <w:rFonts w:hint="eastAsia"/>
          <w:color w:val="1F2329"/>
          <w:spacing wpsCustomData:val="-6" w:val="0"/>
          <w:lang w:val="en-US" w:eastAsia="zh-CN"/>
        </w:rPr>
        <w:t>工作总结</w:t>
      </w:r>
      <w:r>
        <w:rPr>
          <w:color w:val="1F2329"/>
          <w:spacing wpsCustomData:val="-6" w:val="0"/>
          <w:lang w:val="en-US" w:eastAsia="zh-CN"/>
        </w:rPr>
        <w:t>及工</w:t>
      </w:r>
      <w:r>
        <w:rPr>
          <w:color w:val="1F2329"/>
          <w:spacing wpsCustomData:val="-6" w:val="-6"/>
          <w:lang w:val="en-US" w:eastAsia="zh-CN"/>
        </w:rPr>
        <w:t>作</w:t>
      </w:r>
      <w:r>
        <w:rPr>
          <w:color w:val="1F2329"/>
          <w:lang w:val="en-US" w:eastAsia="zh-CN"/>
        </w:rPr>
        <w:t>计划。</w:t>
      </w:r>
    </w:p>
    <w:p w14:paraId="7EFCD83A">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color w:val="1F2329"/>
          <w:lang w:val="en-US" w:eastAsia="zh-CN"/>
        </w:rPr>
      </w:pPr>
      <w:r>
        <w:rPr>
          <w:rFonts w:hint="eastAsia" w:ascii="Times New Roman" w:hAnsi="Times New Roman" w:eastAsia="仿宋_GB2312" w:cs="仿宋_GB2312"/>
          <w:color w:val="1F2329"/>
          <w:spacing w:val="-6"/>
          <w:kern w:val="2"/>
          <w:sz w:val="32"/>
          <w:szCs w:val="32"/>
          <w:lang w:val="en-US" w:eastAsia="zh-CN" w:bidi="ar-SA"/>
        </w:rPr>
        <w:t>（三）</w:t>
      </w:r>
      <w:r>
        <w:rPr>
          <w:rFonts w:hint="eastAsia"/>
          <w:color w:val="1F2329"/>
          <w:lang w:val="en-US" w:eastAsia="zh-CN"/>
        </w:rPr>
        <w:t>积极</w:t>
      </w:r>
      <w:r>
        <w:rPr>
          <w:color w:val="1F2329"/>
          <w:lang w:val="en-US" w:eastAsia="zh-CN"/>
        </w:rPr>
        <w:t>吸纳行业内</w:t>
      </w:r>
      <w:r>
        <w:rPr>
          <w:rFonts w:hint="eastAsia"/>
          <w:color w:val="1F2329"/>
          <w:lang w:val="en-US" w:eastAsia="zh-CN"/>
        </w:rPr>
        <w:t>企业</w:t>
      </w:r>
      <w:r>
        <w:rPr>
          <w:color w:val="1F2329"/>
          <w:lang w:val="en-US" w:eastAsia="zh-CN"/>
        </w:rPr>
        <w:t>入会，壮大会员队伍，提升协会行业</w:t>
      </w:r>
      <w:r>
        <w:rPr>
          <w:rFonts w:hint="eastAsia"/>
          <w:color w:val="1F2329"/>
          <w:lang w:val="en-US" w:eastAsia="zh-CN"/>
        </w:rPr>
        <w:t>影响</w:t>
      </w:r>
      <w:r>
        <w:rPr>
          <w:color w:val="1F2329"/>
          <w:lang w:val="en-US" w:eastAsia="zh-CN"/>
        </w:rPr>
        <w:t>力。</w:t>
      </w:r>
    </w:p>
    <w:p w14:paraId="542B483A">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color w:val="1F2329"/>
          <w:lang w:val="en-US" w:eastAsia="zh-CN"/>
        </w:rPr>
      </w:pPr>
      <w:r>
        <w:rPr>
          <w:rFonts w:hint="eastAsia" w:ascii="Times New Roman" w:hAnsi="Times New Roman" w:eastAsia="仿宋_GB2312" w:cs="仿宋_GB2312"/>
          <w:color w:val="1F2329"/>
          <w:spacing wpsCustomData:val="-6" w:val="1"/>
          <w:kern w:val="2"/>
          <w:sz w:val="32"/>
          <w:szCs w:val="32"/>
          <w:lang w:val="en-US" w:eastAsia="zh-CN" w:bidi="ar-SA"/>
        </w:rPr>
        <w:t>（四）</w:t>
      </w:r>
      <w:r>
        <w:rPr>
          <w:rFonts w:hint="eastAsia"/>
          <w:color w:val="1F2329"/>
          <w:spacing wpsCustomData:val="-6" w:val="1"/>
          <w:lang w:val="en-US" w:eastAsia="zh-CN"/>
        </w:rPr>
        <w:t>规范</w:t>
      </w:r>
      <w:r>
        <w:rPr>
          <w:color w:val="1F2329"/>
          <w:spacing wpsCustomData:val="-6" w:val="1"/>
          <w:lang w:val="en-US" w:eastAsia="zh-CN"/>
        </w:rPr>
        <w:t>收费及资金管理，收费资金统一纳入协</w:t>
      </w:r>
      <w:r>
        <w:rPr>
          <w:color w:val="1F2329"/>
          <w:spacing wpsCustomData:val="-6" w:val="-6"/>
          <w:lang w:val="en-US" w:eastAsia="zh-CN"/>
        </w:rPr>
        <w:t>会</w:t>
      </w:r>
      <w:r>
        <w:rPr>
          <w:rFonts w:hint="default"/>
          <w:color w:val="1F2329"/>
          <w:lang w:val="en-US" w:eastAsia="zh-CN"/>
        </w:rPr>
        <w:t>监管。</w:t>
      </w:r>
    </w:p>
    <w:p w14:paraId="560A51F0">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color w:val="1F2329"/>
          <w:lang w:val="en-US" w:eastAsia="zh-CN"/>
        </w:rPr>
      </w:pPr>
      <w:r>
        <w:rPr>
          <w:rFonts w:hint="eastAsia" w:ascii="Times New Roman" w:hAnsi="Times New Roman" w:eastAsia="仿宋_GB2312" w:cs="仿宋_GB2312"/>
          <w:color w:val="1F2329"/>
          <w:spacing w:val="-6"/>
          <w:kern w:val="2"/>
          <w:sz w:val="32"/>
          <w:szCs w:val="32"/>
          <w:lang w:val="en-US" w:eastAsia="zh-CN" w:bidi="ar-SA"/>
        </w:rPr>
        <w:t>（五）</w:t>
      </w:r>
      <w:r>
        <w:rPr>
          <w:color w:val="1F2329"/>
          <w:lang w:val="en-US" w:eastAsia="zh-CN"/>
        </w:rPr>
        <w:t>开展</w:t>
      </w:r>
      <w:r>
        <w:rPr>
          <w:rFonts w:hint="default"/>
          <w:color w:val="1F2329"/>
          <w:lang w:val="en-US" w:eastAsia="zh-CN"/>
        </w:rPr>
        <w:t>会议交流</w:t>
      </w:r>
      <w:r>
        <w:rPr>
          <w:rFonts w:hint="eastAsia"/>
          <w:color w:val="1F2329"/>
          <w:lang w:val="en-US" w:eastAsia="zh-CN"/>
        </w:rPr>
        <w:t>、</w:t>
      </w:r>
      <w:r>
        <w:rPr>
          <w:color w:val="1F2329"/>
          <w:lang w:val="en-US" w:eastAsia="zh-CN"/>
        </w:rPr>
        <w:t>技术研讨、专业培训、公益讲座、</w:t>
      </w:r>
      <w:r>
        <w:rPr>
          <w:rFonts w:hint="default"/>
          <w:color w:val="1F2329"/>
          <w:lang w:val="en-US" w:eastAsia="zh-CN"/>
        </w:rPr>
        <w:t>业务</w:t>
      </w:r>
      <w:r>
        <w:rPr>
          <w:color w:val="1F2329"/>
          <w:lang w:val="en-US" w:eastAsia="zh-CN"/>
        </w:rPr>
        <w:t>合作等行业活动，活动方案须</w:t>
      </w:r>
      <w:r>
        <w:rPr>
          <w:rFonts w:ascii="Times New Roman" w:hAnsi="Times New Roman" w:eastAsia="仿宋_GB2312" w:cs="仿宋_GB2312"/>
          <w:color w:val="1F2329"/>
          <w:spacing w:val="-6"/>
          <w:kern w:val="2"/>
          <w:sz w:val="32"/>
          <w:szCs w:val="32"/>
          <w:lang w:val="en-US" w:eastAsia="zh-CN" w:bidi="ar-SA"/>
        </w:rPr>
        <w:t>事前向</w:t>
      </w:r>
      <w:r>
        <w:rPr>
          <w:rFonts w:hint="eastAsia" w:cs="仿宋_GB2312"/>
          <w:color w:val="1F2329"/>
          <w:spacing w:val="-6"/>
          <w:kern w:val="2"/>
          <w:sz w:val="32"/>
          <w:szCs w:val="32"/>
          <w:lang w:val="en-US" w:eastAsia="zh-CN" w:bidi="ar-SA"/>
        </w:rPr>
        <w:t>协会</w:t>
      </w:r>
      <w:r>
        <w:rPr>
          <w:rFonts w:ascii="Times New Roman" w:hAnsi="Times New Roman" w:eastAsia="仿宋_GB2312" w:cs="仿宋_GB2312"/>
          <w:color w:val="1F2329"/>
          <w:spacing w:val="-6"/>
          <w:kern w:val="2"/>
          <w:sz w:val="32"/>
          <w:szCs w:val="32"/>
          <w:lang w:val="en-US" w:eastAsia="zh-CN" w:bidi="ar-SA"/>
        </w:rPr>
        <w:t>秘书处报备，事后将相关材料报送秘书处存档</w:t>
      </w:r>
      <w:r>
        <w:rPr>
          <w:color w:val="1F2329"/>
          <w:lang w:val="en-US" w:eastAsia="zh-CN"/>
        </w:rPr>
        <w:t>，相关信息及时通过协会官网或官方公众号发布。</w:t>
      </w:r>
    </w:p>
    <w:p w14:paraId="74A7A5A6">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color w:val="1F2329"/>
          <w:lang w:val="en-US" w:eastAsia="zh-CN"/>
        </w:rPr>
      </w:pPr>
      <w:r>
        <w:rPr>
          <w:rFonts w:hint="eastAsia" w:ascii="Times New Roman" w:hAnsi="Times New Roman" w:eastAsia="仿宋_GB2312" w:cs="仿宋_GB2312"/>
          <w:color w:val="1F2329"/>
          <w:spacing w:val="-6"/>
          <w:kern w:val="2"/>
          <w:sz w:val="32"/>
          <w:szCs w:val="32"/>
          <w:lang w:val="en-US" w:eastAsia="zh-CN" w:bidi="ar-SA"/>
        </w:rPr>
        <w:t>（六）</w:t>
      </w:r>
      <w:r>
        <w:rPr>
          <w:color w:val="1F2329"/>
          <w:lang w:val="en-US" w:eastAsia="zh-CN"/>
        </w:rPr>
        <w:t>开展行业调研，形成高质量调研报告，主动参与行业标准、规范的制订工作，助力行业规范化发展。</w:t>
      </w:r>
    </w:p>
    <w:p w14:paraId="61D4BF32">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color w:val="1F2329"/>
          <w:lang w:val="en-US" w:eastAsia="zh-CN"/>
        </w:rPr>
      </w:pPr>
      <w:r>
        <w:rPr>
          <w:rFonts w:hint="eastAsia" w:ascii="Times New Roman" w:hAnsi="Times New Roman" w:eastAsia="仿宋_GB2312" w:cs="仿宋_GB2312"/>
          <w:color w:val="1F2329"/>
          <w:spacing w:val="-6"/>
          <w:kern w:val="2"/>
          <w:sz w:val="32"/>
          <w:szCs w:val="32"/>
          <w:lang w:val="en-US" w:eastAsia="zh-CN" w:bidi="ar-SA"/>
        </w:rPr>
        <w:t>（七）</w:t>
      </w:r>
      <w:r>
        <w:rPr>
          <w:color w:val="1F2329"/>
          <w:lang w:val="en-US" w:eastAsia="zh-CN"/>
        </w:rPr>
        <w:t>推广新材料、新技术、新工艺、新设备及数智化检测技术，参与行业技能竞赛、能力比对活动，协助协会开展实操培训、技术咨询工作，推动行业技术升级。</w:t>
      </w:r>
    </w:p>
    <w:p w14:paraId="6442ED53">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color w:val="1F2329"/>
          <w:lang w:val="en-US" w:eastAsia="zh-CN"/>
        </w:rPr>
      </w:pPr>
      <w:r>
        <w:rPr>
          <w:rFonts w:hint="eastAsia" w:ascii="Times New Roman" w:hAnsi="Times New Roman" w:eastAsia="仿宋_GB2312" w:cs="仿宋_GB2312"/>
          <w:color w:val="1F2329"/>
          <w:spacing w:val="-6"/>
          <w:kern w:val="2"/>
          <w:sz w:val="32"/>
          <w:szCs w:val="32"/>
          <w:lang w:val="en-US" w:eastAsia="zh-CN" w:bidi="ar-SA"/>
        </w:rPr>
        <w:t>（八）</w:t>
      </w:r>
      <w:r>
        <w:rPr>
          <w:color w:val="1F2329"/>
          <w:lang w:val="en-US" w:eastAsia="zh-CN"/>
        </w:rPr>
        <w:t>主动承担社会责任，积极参与公益服务、行业帮扶工作，大力宣传行业正能量，树立良好行业形象，打造有</w:t>
      </w:r>
      <w:r>
        <w:rPr>
          <w:rFonts w:hint="eastAsia"/>
          <w:color w:val="1F2329"/>
          <w:lang w:val="en-US" w:eastAsia="zh-CN"/>
        </w:rPr>
        <w:t>公信</w:t>
      </w:r>
      <w:r>
        <w:rPr>
          <w:color w:val="1F2329"/>
          <w:lang w:val="en-US" w:eastAsia="zh-CN"/>
        </w:rPr>
        <w:t>力的行业服务品牌。</w:t>
      </w:r>
    </w:p>
    <w:p w14:paraId="0D6DA23E">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rFonts w:hint="eastAsia" w:ascii="仿宋_GB2312" w:hAnsi="仿宋_GB2312" w:eastAsia="仿宋_GB2312" w:cs="仿宋_GB2312"/>
          <w:b/>
          <w:color w:val="1F2329"/>
        </w:rPr>
      </w:pPr>
      <w:r>
        <w:rPr>
          <w:rFonts w:hint="eastAsia" w:ascii="仿宋_GB2312" w:hAnsi="仿宋_GB2312" w:eastAsia="仿宋_GB2312" w:cs="仿宋_GB2312"/>
          <w:b/>
          <w:color w:val="1F2329"/>
          <w:spacing w:val="-6"/>
          <w:kern w:val="2"/>
          <w:sz w:val="32"/>
          <w:szCs w:val="32"/>
          <w:lang w:val="en-US" w:eastAsia="zh-CN" w:bidi="ar-SA"/>
        </w:rPr>
        <w:t>第八条</w:t>
      </w:r>
      <w:r>
        <w:rPr>
          <w:rFonts w:hint="eastAsia" w:ascii="仿宋_GB2312" w:hAnsi="仿宋_GB2312" w:cs="仿宋_GB2312"/>
          <w:b/>
          <w:color w:val="1F2329"/>
          <w:spacing w:val="-6"/>
          <w:kern w:val="2"/>
          <w:sz w:val="32"/>
          <w:szCs w:val="32"/>
          <w:lang w:val="en-US" w:eastAsia="zh-CN" w:bidi="ar-SA"/>
        </w:rPr>
        <w:t xml:space="preserve"> </w:t>
      </w:r>
      <w:r>
        <w:rPr>
          <w:color w:val="1F2329"/>
        </w:rPr>
        <w:t>执行落实</w:t>
      </w:r>
    </w:p>
    <w:p w14:paraId="76C440D6">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rFonts w:hint="eastAsia" w:ascii="仿宋_GB2312" w:hAnsi="仿宋_GB2312" w:eastAsia="仿宋_GB2312" w:cs="仿宋_GB2312"/>
          <w:b w:val="0"/>
          <w:color w:val="1F2329"/>
        </w:rPr>
      </w:pPr>
      <w:r>
        <w:rPr>
          <w:rFonts w:hint="eastAsia" w:ascii="仿宋_GB2312" w:hAnsi="仿宋_GB2312" w:eastAsia="仿宋_GB2312" w:cs="仿宋_GB2312"/>
          <w:b w:val="0"/>
          <w:color w:val="1F2329"/>
          <w:spacing w:val="-6"/>
          <w:kern w:val="2"/>
          <w:sz w:val="32"/>
          <w:szCs w:val="32"/>
          <w:lang w:val="en-US" w:eastAsia="zh-CN" w:bidi="ar-SA"/>
        </w:rPr>
        <w:t>（一）</w:t>
      </w:r>
      <w:r>
        <w:rPr>
          <w:color w:val="1F2329"/>
        </w:rPr>
        <w:t>按时保质完成协会部署的各项工作任务，积极承办专项工作，态度严谨、落实到位，无拖延、敷衍情况；</w:t>
      </w:r>
    </w:p>
    <w:p w14:paraId="5DFBCC38">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rFonts w:hint="eastAsia" w:ascii="仿宋_GB2312" w:hAnsi="仿宋_GB2312" w:eastAsia="仿宋_GB2312" w:cs="仿宋_GB2312"/>
          <w:b w:val="0"/>
          <w:color w:val="1F2329"/>
        </w:rPr>
      </w:pPr>
      <w:r>
        <w:rPr>
          <w:rFonts w:hint="eastAsia" w:ascii="仿宋_GB2312" w:hAnsi="仿宋_GB2312" w:eastAsia="仿宋_GB2312" w:cs="仿宋_GB2312"/>
          <w:b w:val="0"/>
          <w:color w:val="1F2329"/>
          <w:spacing w:val="-6"/>
          <w:kern w:val="2"/>
          <w:sz w:val="32"/>
          <w:szCs w:val="32"/>
          <w:lang w:val="en-US" w:eastAsia="zh-CN" w:bidi="ar-SA"/>
        </w:rPr>
        <w:t>（二）</w:t>
      </w:r>
      <w:r>
        <w:rPr>
          <w:color w:val="1F2329"/>
        </w:rPr>
        <w:t>严格执行协会决议，主动配合协会监督检查、调研指导工作，反馈及时、整改彻底，确保各项要求落地见效；</w:t>
      </w:r>
    </w:p>
    <w:p w14:paraId="574E7C45">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firstLineChars="0"/>
        <w:rPr>
          <w:rFonts w:hint="eastAsia" w:ascii="仿宋_GB2312" w:hAnsi="仿宋_GB2312" w:eastAsia="仿宋_GB2312" w:cs="仿宋_GB2312"/>
          <w:b w:val="0"/>
          <w:color w:val="1F2329"/>
        </w:rPr>
      </w:pPr>
      <w:r>
        <w:rPr>
          <w:rFonts w:hint="eastAsia" w:ascii="仿宋_GB2312" w:hAnsi="仿宋_GB2312" w:eastAsia="仿宋_GB2312" w:cs="仿宋_GB2312"/>
          <w:b w:val="0"/>
          <w:color w:val="1F2329"/>
          <w:spacing w:val="-6"/>
          <w:kern w:val="2"/>
          <w:sz w:val="32"/>
          <w:szCs w:val="32"/>
          <w:lang w:val="en-US" w:eastAsia="zh-CN" w:bidi="ar-SA"/>
        </w:rPr>
        <w:t>（三）</w:t>
      </w:r>
      <w:r>
        <w:rPr>
          <w:color w:val="1F2329"/>
        </w:rPr>
        <w:t>主要负责人每年底向</w:t>
      </w:r>
      <w:r>
        <w:rPr>
          <w:rFonts w:hint="eastAsia"/>
          <w:color w:val="1F2329"/>
          <w:lang w:val="en-US" w:eastAsia="zh-CN"/>
        </w:rPr>
        <w:t>常务理事会</w:t>
      </w:r>
      <w:r>
        <w:rPr>
          <w:color w:val="1F2329"/>
        </w:rPr>
        <w:t>述职，述职报告完整规范，接受</w:t>
      </w:r>
      <w:r>
        <w:rPr>
          <w:rFonts w:hint="eastAsia"/>
          <w:color w:val="1F2329"/>
          <w:lang w:val="en-US" w:eastAsia="zh-CN"/>
        </w:rPr>
        <w:t>常务理事会评议</w:t>
      </w:r>
      <w:r>
        <w:rPr>
          <w:color w:val="1F2329"/>
        </w:rPr>
        <w:t>。</w:t>
      </w:r>
    </w:p>
    <w:p w14:paraId="00F6E100">
      <w:pPr>
        <w:pStyle w:val="21"/>
        <w:widowControl/>
        <w:numPr>
          <w:ilvl w:val="0"/>
          <w:numId w:val="0"/>
        </w:numPr>
        <w:ind w:left="0" w:leftChars="0" w:firstLine="0" w:firstLineChars="0"/>
        <w:rPr>
          <w:b w:val="0"/>
        </w:rPr>
      </w:pPr>
      <w:r>
        <w:rPr>
          <w:rFonts w:hint="eastAsia" w:ascii="黑体" w:hAnsi="黑体" w:eastAsia="黑体" w:cs="黑体"/>
          <w:b w:val="0"/>
          <w:bCs/>
          <w:spacing w:val="-6"/>
          <w:kern w:val="44"/>
          <w:sz w:val="32"/>
          <w:szCs w:val="32"/>
          <w:lang w:bidi="ar-SA"/>
        </w:rPr>
        <w:t>第三章</w:t>
      </w:r>
      <w:r>
        <w:rPr>
          <w:rFonts w:hint="eastAsia" w:cs="黑体"/>
          <w:b w:val="0"/>
          <w:bCs/>
          <w:spacing w:val="-6"/>
          <w:kern w:val="44"/>
          <w:sz w:val="32"/>
          <w:szCs w:val="32"/>
          <w:lang w:val="en-US" w:eastAsia="zh-CN" w:bidi="ar-SA"/>
        </w:rPr>
        <w:t xml:space="preserve">  </w:t>
      </w:r>
      <w:r>
        <w:t>考核程序</w:t>
      </w:r>
    </w:p>
    <w:p w14:paraId="4B2CBF38">
      <w:pPr>
        <w:widowControl/>
        <w:pBdr>
          <w:top w:val="none" w:color="auto" w:sz="0" w:space="0"/>
          <w:left w:val="none" w:color="auto" w:sz="0" w:space="0"/>
          <w:bottom w:val="none" w:color="auto" w:sz="0" w:space="0"/>
          <w:right w:val="none" w:color="auto" w:sz="0" w:space="0"/>
        </w:pBdr>
        <w:topLinePunct w:val="0"/>
        <w:spacing w:line="560" w:lineRule="exact"/>
        <w:ind w:left="0" w:leftChars="0" w:firstLine="616" w:firstLineChars="0"/>
        <w:jc w:val="both"/>
        <w:rPr>
          <w:rFonts w:hint="eastAsia" w:ascii="仿宋_GB2312" w:hAnsi="仿宋_GB2312" w:eastAsia="仿宋_GB2312" w:cs="仿宋_GB2312"/>
          <w:b/>
          <w:color w:val="1F2329"/>
          <w:spacing w:val="-6"/>
          <w:kern w:val="2"/>
          <w:sz w:val="32"/>
          <w:szCs w:val="32"/>
          <w:lang w:val="en-US" w:eastAsia="zh-CN" w:bidi="ar-SA"/>
        </w:rPr>
      </w:pPr>
      <w:r>
        <w:rPr>
          <w:rFonts w:hint="eastAsia" w:ascii="Times New Roman" w:hAnsi="Times New Roman" w:eastAsia="仿宋_GB2312" w:cs="仿宋_GB2312"/>
          <w:b/>
          <w:color w:val="1F2329"/>
          <w:spacing w:val="-6"/>
          <w:kern w:val="2"/>
          <w:sz w:val="32"/>
          <w:szCs w:val="32"/>
          <w:lang w:val="en-US" w:eastAsia="zh-CN" w:bidi="ar-SA"/>
        </w:rPr>
        <w:t>第</w:t>
      </w:r>
      <w:r>
        <w:rPr>
          <w:rFonts w:hint="eastAsia" w:ascii="Times New Roman" w:hAnsi="Times New Roman" w:cs="仿宋_GB2312"/>
          <w:b/>
          <w:color w:val="1F2329"/>
          <w:spacing w:val="-6"/>
          <w:kern w:val="2"/>
          <w:sz w:val="32"/>
          <w:szCs w:val="32"/>
          <w:lang w:val="en-US" w:eastAsia="zh-CN" w:bidi="ar-SA"/>
        </w:rPr>
        <w:t>九</w:t>
      </w:r>
      <w:r>
        <w:rPr>
          <w:rFonts w:hint="eastAsia" w:ascii="Times New Roman" w:hAnsi="Times New Roman" w:eastAsia="仿宋_GB2312" w:cs="仿宋_GB2312"/>
          <w:b/>
          <w:color w:val="1F2329"/>
          <w:spacing w:val="-6"/>
          <w:kern w:val="2"/>
          <w:sz w:val="32"/>
          <w:szCs w:val="32"/>
          <w:lang w:val="en-US" w:eastAsia="zh-CN" w:bidi="ar-SA"/>
        </w:rPr>
        <w:t xml:space="preserve">条 </w:t>
      </w:r>
      <w:r>
        <w:rPr>
          <w:rFonts w:hint="eastAsia" w:ascii="Times New Roman" w:hAnsi="Times New Roman" w:eastAsia="仿宋_GB2312" w:cs="仿宋_GB2312"/>
          <w:color w:val="1F2329"/>
          <w:spacing w:val="-6"/>
          <w:kern w:val="2"/>
          <w:sz w:val="32"/>
          <w:szCs w:val="32"/>
          <w:lang w:val="en-US" w:eastAsia="zh-CN" w:bidi="ar-SA"/>
        </w:rPr>
        <w:t>协会秘书处负责考核工作的组织实施、结果汇总及异议核查。各分支机构须按要求就每项业务活动及时向协会秘书处报送相关材料，确保材料真实、完整、规范；协会秘书处对报送材料</w:t>
      </w:r>
      <w:r>
        <w:rPr>
          <w:rFonts w:hint="eastAsia" w:ascii="Times New Roman" w:hAnsi="Times New Roman" w:cs="仿宋_GB2312"/>
          <w:color w:val="1F2329"/>
          <w:spacing w:val="-6"/>
          <w:kern w:val="2"/>
          <w:sz w:val="32"/>
          <w:szCs w:val="32"/>
          <w:lang w:val="en-US" w:eastAsia="zh-CN" w:bidi="ar-SA"/>
        </w:rPr>
        <w:t>进行审核</w:t>
      </w:r>
      <w:r>
        <w:rPr>
          <w:rFonts w:hint="eastAsia" w:ascii="Times New Roman" w:hAnsi="Times New Roman" w:eastAsia="仿宋_GB2312" w:cs="仿宋_GB2312"/>
          <w:color w:val="1F2329"/>
          <w:spacing w:val="-6"/>
          <w:kern w:val="2"/>
          <w:sz w:val="32"/>
          <w:szCs w:val="32"/>
          <w:lang w:val="en-US" w:eastAsia="zh-CN" w:bidi="ar-SA"/>
        </w:rPr>
        <w:t>，审核通过后予以计分</w:t>
      </w:r>
      <w:r>
        <w:rPr>
          <w:rFonts w:hint="eastAsia" w:ascii="Times New Roman" w:hAnsi="Times New Roman" w:cs="仿宋_GB2312"/>
          <w:color w:val="1F2329"/>
          <w:spacing w:val="-6"/>
          <w:kern w:val="2"/>
          <w:sz w:val="32"/>
          <w:szCs w:val="32"/>
          <w:lang w:val="en-US" w:eastAsia="zh-CN" w:bidi="ar-SA"/>
        </w:rPr>
        <w:t>，计分标准按附件执行，</w:t>
      </w:r>
      <w:r>
        <w:rPr>
          <w:rFonts w:hint="eastAsia" w:ascii="Times New Roman" w:hAnsi="Times New Roman" w:eastAsia="仿宋_GB2312" w:cs="仿宋_GB2312"/>
          <w:b w:val="0"/>
          <w:bCs w:val="0"/>
          <w:color w:val="1F2329"/>
          <w:kern w:val="2"/>
          <w:sz w:val="32"/>
          <w:szCs w:val="32"/>
          <w:lang w:val="en-US" w:eastAsia="zh-CN" w:bidi="ar-SA"/>
        </w:rPr>
        <w:t>带</w:t>
      </w:r>
      <w:r>
        <w:rPr>
          <w:rFonts w:hint="eastAsia" w:ascii="Times New Roman" w:hAnsi="Times New Roman" w:eastAsia="仿宋_GB2312" w:cs="仿宋_GB2312"/>
          <w:color w:val="1F2329"/>
          <w:kern w:val="2"/>
          <w:sz w:val="32"/>
          <w:szCs w:val="32"/>
          <w:lang w:val="en-US" w:eastAsia="zh-CN" w:bidi="ar-SA"/>
        </w:rPr>
        <w:drawing>
          <wp:inline distT="0" distB="0" distL="114300" distR="114300">
            <wp:extent cx="142875" cy="142875"/>
            <wp:effectExtent l="0" t="0" r="9525" b="9525"/>
            <wp:docPr id="4" name="图片 4" descr="10787477683"/>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1059587859&quot;}"/>
                  </s:tag>
                </a:ext>
              </a:extLst>
            </wp:cNvGraphicFramePr>
            <a:graphic xmlns:a="http://schemas.openxmlformats.org/drawingml/2006/main">
              <a:graphicData uri="http://schemas.openxmlformats.org/drawingml/2006/picture">
                <pic:pic xmlns:pic="http://schemas.openxmlformats.org/drawingml/2006/picture">
                  <pic:nvPicPr>
                    <pic:cNvPr id="4" name="图片 4" descr="10787477683"/>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42875" cy="142875"/>
                    </a:xfrm>
                    <a:prstGeom prst="rect">
                      <a:avLst/>
                    </a:prstGeom>
                  </pic:spPr>
                </pic:pic>
              </a:graphicData>
            </a:graphic>
          </wp:inline>
        </w:drawing>
      </w:r>
      <w:r>
        <w:rPr>
          <w:rFonts w:hint="eastAsia" w:ascii="Times New Roman" w:hAnsi="Times New Roman" w:eastAsia="仿宋_GB2312" w:cs="仿宋_GB2312"/>
          <w:color w:val="1F2329"/>
          <w:kern w:val="2"/>
          <w:sz w:val="32"/>
          <w:szCs w:val="32"/>
          <w:lang w:val="en-US" w:eastAsia="zh-CN" w:bidi="ar-SA"/>
        </w:rPr>
        <w:t>的为必须完成项</w:t>
      </w:r>
      <w:r>
        <w:rPr>
          <w:rFonts w:hint="eastAsia" w:ascii="Times New Roman" w:hAnsi="Times New Roman" w:cs="仿宋_GB2312"/>
          <w:color w:val="1F2329"/>
          <w:spacing w:val="-6"/>
          <w:kern w:val="2"/>
          <w:sz w:val="32"/>
          <w:szCs w:val="32"/>
          <w:lang w:val="en-US" w:eastAsia="zh-CN" w:bidi="ar-SA"/>
        </w:rPr>
        <w:t>；每年</w:t>
      </w:r>
      <w:r>
        <w:rPr>
          <w:rFonts w:hint="eastAsia" w:ascii="Times New Roman" w:hAnsi="Times New Roman" w:eastAsia="仿宋_GB2312" w:cs="仿宋_GB2312"/>
          <w:color w:val="1F2329"/>
          <w:spacing w:val="-6"/>
          <w:kern w:val="2"/>
          <w:sz w:val="32"/>
          <w:szCs w:val="32"/>
          <w:lang w:val="en-US" w:eastAsia="zh-CN" w:bidi="ar-SA"/>
        </w:rPr>
        <w:t>末统一汇总全年计分结果，形成初步考核意见。</w:t>
      </w:r>
    </w:p>
    <w:p w14:paraId="52E0190E">
      <w:pPr>
        <w:widowControl/>
        <w:pBdr>
          <w:top w:val="none" w:color="auto" w:sz="0" w:space="0"/>
          <w:left w:val="none" w:color="auto" w:sz="0" w:space="0"/>
          <w:bottom w:val="none" w:color="auto" w:sz="0" w:space="0"/>
          <w:right w:val="none" w:color="auto" w:sz="0" w:space="0"/>
        </w:pBdr>
        <w:topLinePunct w:val="0"/>
        <w:spacing w:line="560" w:lineRule="exact"/>
        <w:ind w:left="0" w:leftChars="0" w:firstLine="616" w:firstLineChars="0"/>
        <w:jc w:val="both"/>
        <w:rPr>
          <w:rFonts w:hint="eastAsia" w:ascii="仿宋_GB2312" w:hAnsi="仿宋_GB2312" w:eastAsia="仿宋_GB2312" w:cs="仿宋_GB2312"/>
          <w:b/>
          <w:color w:val="1F2329"/>
          <w:spacing w:val="-6"/>
          <w:kern w:val="2"/>
          <w:sz w:val="32"/>
          <w:szCs w:val="32"/>
          <w:lang w:val="en-US" w:eastAsia="zh-CN" w:bidi="ar-SA"/>
        </w:rPr>
      </w:pPr>
      <w:r>
        <w:rPr>
          <w:rFonts w:hint="eastAsia" w:ascii="Times New Roman" w:hAnsi="Times New Roman" w:eastAsia="仿宋_GB2312" w:cs="仿宋_GB2312"/>
          <w:b/>
          <w:color w:val="1F2329"/>
          <w:spacing w:val="-6"/>
          <w:kern w:val="2"/>
          <w:sz w:val="32"/>
          <w:szCs w:val="32"/>
          <w:lang w:val="en-US" w:eastAsia="zh-CN" w:bidi="ar-SA"/>
        </w:rPr>
        <w:t>第</w:t>
      </w:r>
      <w:r>
        <w:rPr>
          <w:rFonts w:hint="eastAsia" w:ascii="Times New Roman" w:hAnsi="Times New Roman" w:cs="仿宋_GB2312"/>
          <w:b/>
          <w:color w:val="1F2329"/>
          <w:spacing w:val="-6"/>
          <w:kern w:val="2"/>
          <w:sz w:val="32"/>
          <w:szCs w:val="32"/>
          <w:lang w:val="en-US" w:eastAsia="zh-CN" w:bidi="ar-SA"/>
        </w:rPr>
        <w:t>十</w:t>
      </w:r>
      <w:r>
        <w:rPr>
          <w:rFonts w:hint="eastAsia" w:ascii="Times New Roman" w:hAnsi="Times New Roman" w:eastAsia="仿宋_GB2312" w:cs="仿宋_GB2312"/>
          <w:b/>
          <w:color w:val="1F2329"/>
          <w:spacing w:val="-6"/>
          <w:kern w:val="2"/>
          <w:sz w:val="32"/>
          <w:szCs w:val="32"/>
          <w:lang w:val="en-US" w:eastAsia="zh-CN" w:bidi="ar-SA"/>
        </w:rPr>
        <w:t xml:space="preserve">条 </w:t>
      </w:r>
      <w:r>
        <w:rPr>
          <w:rFonts w:hint="eastAsia" w:ascii="Times New Roman" w:hAnsi="Times New Roman" w:eastAsia="仿宋_GB2312" w:cs="仿宋_GB2312"/>
          <w:color w:val="1F2329"/>
          <w:spacing w:val="-6"/>
          <w:kern w:val="2"/>
          <w:sz w:val="32"/>
          <w:szCs w:val="32"/>
          <w:lang w:val="en-US" w:eastAsia="zh-CN" w:bidi="ar-SA"/>
        </w:rPr>
        <w:t>考核周期为</w:t>
      </w:r>
      <w:r>
        <w:rPr>
          <w:rFonts w:hint="eastAsia" w:ascii="Times New Roman" w:hAnsi="Times New Roman" w:cs="仿宋_GB2312"/>
          <w:color w:val="1F2329"/>
          <w:spacing w:val="-6"/>
          <w:kern w:val="2"/>
          <w:sz w:val="32"/>
          <w:szCs w:val="32"/>
          <w:lang w:val="en-US" w:eastAsia="zh-CN" w:bidi="ar-SA"/>
        </w:rPr>
        <w:t>1</w:t>
      </w:r>
      <w:r>
        <w:rPr>
          <w:rFonts w:hint="eastAsia" w:ascii="Times New Roman" w:hAnsi="Times New Roman" w:eastAsia="仿宋_GB2312" w:cs="仿宋_GB2312"/>
          <w:color w:val="1F2329"/>
          <w:spacing w:val="-6"/>
          <w:kern w:val="2"/>
          <w:sz w:val="32"/>
          <w:szCs w:val="32"/>
          <w:lang w:val="en-US" w:eastAsia="zh-CN" w:bidi="ar-SA"/>
        </w:rPr>
        <w:t>年，一般于每年12月下旬启动年度考核工作，完成全年考核相关事宜；如发现分支机构存在重大违规、投诉集中、不良舆情等问题，协会将启动专项考核，并根据考核情况及时作出相应处理决定。</w:t>
      </w:r>
    </w:p>
    <w:p w14:paraId="4DEE0432">
      <w:pPr>
        <w:widowControl/>
        <w:pBdr>
          <w:top w:val="none" w:color="auto" w:sz="0" w:space="0"/>
          <w:left w:val="none" w:color="auto" w:sz="0" w:space="0"/>
          <w:bottom w:val="none" w:color="auto" w:sz="0" w:space="0"/>
          <w:right w:val="none" w:color="auto" w:sz="0" w:space="0"/>
        </w:pBdr>
        <w:topLinePunct w:val="0"/>
        <w:spacing w:line="560" w:lineRule="exact"/>
        <w:ind w:left="0" w:leftChars="0" w:firstLine="616" w:firstLineChars="0"/>
        <w:jc w:val="both"/>
        <w:rPr>
          <w:rFonts w:hint="eastAsia" w:ascii="仿宋_GB2312" w:hAnsi="仿宋_GB2312" w:eastAsia="仿宋_GB2312" w:cs="仿宋_GB2312"/>
          <w:b/>
          <w:color w:val="1F2329"/>
          <w:spacing w:val="-6"/>
          <w:kern w:val="2"/>
          <w:sz w:val="32"/>
          <w:szCs w:val="32"/>
          <w:lang w:val="en-US" w:eastAsia="zh-CN" w:bidi="ar-SA"/>
        </w:rPr>
      </w:pPr>
      <w:r>
        <w:rPr>
          <w:rFonts w:hint="eastAsia" w:ascii="Times New Roman" w:hAnsi="Times New Roman" w:eastAsia="仿宋_GB2312" w:cs="仿宋_GB2312"/>
          <w:b/>
          <w:color w:val="1F2329"/>
          <w:spacing w:val="-6"/>
          <w:kern w:val="2"/>
          <w:sz w:val="32"/>
          <w:szCs w:val="32"/>
          <w:lang w:val="en-US" w:eastAsia="zh-CN" w:bidi="ar-SA"/>
        </w:rPr>
        <w:t>第十</w:t>
      </w:r>
      <w:r>
        <w:rPr>
          <w:rFonts w:hint="eastAsia" w:ascii="Times New Roman" w:hAnsi="Times New Roman" w:cs="仿宋_GB2312"/>
          <w:b/>
          <w:color w:val="1F2329"/>
          <w:spacing w:val="-6"/>
          <w:kern w:val="2"/>
          <w:sz w:val="32"/>
          <w:szCs w:val="32"/>
          <w:lang w:val="en-US" w:eastAsia="zh-CN" w:bidi="ar-SA"/>
        </w:rPr>
        <w:t>一</w:t>
      </w:r>
      <w:r>
        <w:rPr>
          <w:rFonts w:hint="eastAsia" w:ascii="Times New Roman" w:hAnsi="Times New Roman" w:eastAsia="仿宋_GB2312" w:cs="仿宋_GB2312"/>
          <w:b/>
          <w:color w:val="1F2329"/>
          <w:spacing w:val="-6"/>
          <w:kern w:val="2"/>
          <w:sz w:val="32"/>
          <w:szCs w:val="32"/>
          <w:lang w:val="en-US" w:eastAsia="zh-CN" w:bidi="ar-SA"/>
        </w:rPr>
        <w:t xml:space="preserve">条 </w:t>
      </w:r>
      <w:r>
        <w:rPr>
          <w:rFonts w:hint="eastAsia" w:ascii="Times New Roman" w:hAnsi="Times New Roman" w:eastAsia="仿宋_GB2312" w:cs="仿宋_GB2312"/>
          <w:color w:val="1F2329"/>
          <w:spacing w:val="-6"/>
          <w:kern w:val="2"/>
          <w:sz w:val="32"/>
          <w:szCs w:val="32"/>
          <w:lang w:val="en-US" w:eastAsia="zh-CN" w:bidi="ar-SA"/>
        </w:rPr>
        <w:t>协会秘书处将年度考核初步意见及汇总计分结果，统一提交会长办公会审定。</w:t>
      </w:r>
    </w:p>
    <w:p w14:paraId="68F59593">
      <w:pPr>
        <w:pStyle w:val="21"/>
        <w:widowControl/>
        <w:numPr>
          <w:ilvl w:val="0"/>
          <w:numId w:val="0"/>
        </w:numPr>
        <w:ind w:left="0" w:leftChars="0" w:firstLine="0" w:firstLineChars="0"/>
        <w:rPr>
          <w:rFonts w:hint="eastAsia" w:ascii="黑体" w:hAnsi="黑体" w:eastAsia="黑体" w:cs="黑体"/>
          <w:b w:val="0"/>
          <w:bCs/>
          <w:spacing w:val="-6"/>
          <w:kern w:val="44"/>
          <w:sz w:val="32"/>
          <w:szCs w:val="32"/>
          <w:lang w:bidi="ar-SA"/>
        </w:rPr>
      </w:pPr>
    </w:p>
    <w:p w14:paraId="421991CF">
      <w:pPr>
        <w:pStyle w:val="21"/>
        <w:widowControl/>
        <w:numPr>
          <w:ilvl w:val="0"/>
          <w:numId w:val="0"/>
        </w:numPr>
        <w:ind w:left="0" w:leftChars="0" w:firstLine="0" w:firstLineChars="0"/>
        <w:rPr>
          <w:b w:val="0"/>
        </w:rPr>
      </w:pPr>
      <w:r>
        <w:rPr>
          <w:rFonts w:hint="eastAsia" w:ascii="黑体" w:hAnsi="黑体" w:eastAsia="黑体" w:cs="黑体"/>
          <w:b w:val="0"/>
          <w:bCs/>
          <w:spacing w:val="-6"/>
          <w:kern w:val="44"/>
          <w:sz w:val="32"/>
          <w:szCs w:val="32"/>
          <w:lang w:bidi="ar-SA"/>
        </w:rPr>
        <w:t>第四章</w:t>
      </w:r>
      <w:r>
        <w:rPr>
          <w:rFonts w:hint="eastAsia" w:cs="黑体"/>
          <w:b w:val="0"/>
          <w:bCs/>
          <w:spacing w:val="-6"/>
          <w:kern w:val="44"/>
          <w:sz w:val="32"/>
          <w:szCs w:val="32"/>
          <w:lang w:val="en-US" w:eastAsia="zh-CN" w:bidi="ar-SA"/>
        </w:rPr>
        <w:t xml:space="preserve">  </w:t>
      </w:r>
      <w:r>
        <w:t>考核结果运用</w:t>
      </w:r>
    </w:p>
    <w:p w14:paraId="153DAD2D">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616"/>
        <w:rPr>
          <w:rFonts w:hint="eastAsia" w:ascii="Times New Roman" w:hAnsi="Times New Roman" w:eastAsia="仿宋_GB2312" w:cs="仿宋_GB2312"/>
          <w:b w:val="0"/>
          <w:color w:val="1F2329"/>
        </w:rPr>
      </w:pPr>
      <w:r>
        <w:rPr>
          <w:rFonts w:hint="eastAsia"/>
          <w:b/>
          <w:bCs/>
          <w:color w:val="1F2329"/>
          <w:lang w:val="en-US" w:eastAsia="zh-CN"/>
        </w:rPr>
        <w:t>第十二条</w:t>
      </w:r>
      <w:r>
        <w:rPr>
          <w:rFonts w:hint="eastAsia"/>
          <w:color w:val="1F2329"/>
          <w:lang w:val="en-US" w:eastAsia="zh-CN"/>
        </w:rPr>
        <w:t xml:space="preserve"> </w:t>
      </w:r>
      <w:r>
        <w:rPr>
          <w:rFonts w:hint="eastAsia" w:ascii="Times New Roman" w:hAnsi="Times New Roman" w:eastAsia="仿宋_GB2312" w:cs="仿宋_GB2312"/>
          <w:i w:val="0"/>
          <w:iCs w:val="0"/>
          <w:caps w:val="0"/>
          <w:color w:val="1F2329"/>
          <w:spacing w:val="-6"/>
          <w:sz w:val="32"/>
          <w:szCs w:val="32"/>
          <w:shd w:val="clear" w:fill="auto"/>
        </w:rPr>
        <w:t>考核结果将作为分支机构评先及动态调整的核心依据，并予以通报。</w:t>
      </w:r>
    </w:p>
    <w:p w14:paraId="01CA2D3B">
      <w:pPr>
        <w:pStyle w:val="12"/>
        <w:widowControl/>
        <w:numPr>
          <w:ilvl w:val="0"/>
          <w:numId w:val="0"/>
        </w:numPr>
        <w:pBdr>
          <w:top w:val="none" w:color="auto" w:sz="0" w:space="0"/>
          <w:left w:val="none" w:color="auto" w:sz="0" w:space="0"/>
          <w:bottom w:val="none" w:color="auto" w:sz="0" w:space="0"/>
          <w:right w:val="none" w:color="auto" w:sz="0" w:space="0"/>
        </w:pBdr>
        <w:topLinePunct w:val="0"/>
        <w:ind w:left="616" w:leftChars="0"/>
        <w:rPr>
          <w:color w:val="1F2329"/>
        </w:rPr>
      </w:pPr>
      <w:r>
        <w:rPr>
          <w:rFonts w:hint="eastAsia"/>
          <w:b/>
          <w:bCs/>
          <w:color w:val="1F2329"/>
          <w:lang w:val="en-US" w:eastAsia="zh-CN"/>
        </w:rPr>
        <w:t>第十三条</w:t>
      </w:r>
      <w:r>
        <w:rPr>
          <w:rFonts w:hint="eastAsia"/>
          <w:color w:val="1F2329"/>
          <w:lang w:val="en-US" w:eastAsia="zh-CN"/>
        </w:rPr>
        <w:t xml:space="preserve"> </w:t>
      </w:r>
      <w:r>
        <w:rPr>
          <w:color w:val="1F2329"/>
        </w:rPr>
        <w:t>对考核</w:t>
      </w:r>
      <w:r>
        <w:rPr>
          <w:rFonts w:hint="eastAsia"/>
          <w:color w:val="1F2329"/>
          <w:lang w:val="en-US" w:eastAsia="zh-CN"/>
        </w:rPr>
        <w:t>分数低于60分</w:t>
      </w:r>
      <w:r>
        <w:rPr>
          <w:color w:val="1F2329"/>
        </w:rPr>
        <w:t>的分支机构限期整改，提交</w:t>
      </w:r>
    </w:p>
    <w:p w14:paraId="19D48AE4">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0" w:firstLineChars="0"/>
        <w:rPr>
          <w:rFonts w:hint="eastAsia" w:ascii="仿宋_GB2312" w:hAnsi="仿宋_GB2312" w:eastAsia="仿宋_GB2312" w:cs="仿宋_GB2312"/>
          <w:b/>
          <w:color w:val="1F2329"/>
        </w:rPr>
      </w:pPr>
      <w:r>
        <w:rPr>
          <w:color w:val="1F2329"/>
        </w:rPr>
        <w:t>问题清单和整改措施。连续两年考核</w:t>
      </w:r>
      <w:r>
        <w:rPr>
          <w:rFonts w:hint="default"/>
          <w:color w:val="1F2329"/>
          <w:lang w:val="en-US" w:eastAsia="zh-CN"/>
        </w:rPr>
        <w:t>分数低于60分</w:t>
      </w:r>
      <w:r>
        <w:rPr>
          <w:color w:val="1F2329"/>
        </w:rPr>
        <w:t>，经常务理事会批准，予以调整主要负责人、变更</w:t>
      </w:r>
      <w:r>
        <w:rPr>
          <w:rFonts w:hint="eastAsia"/>
          <w:color w:val="1F2329"/>
          <w:lang w:val="en-US" w:eastAsia="zh-CN"/>
        </w:rPr>
        <w:t>依托</w:t>
      </w:r>
      <w:r>
        <w:rPr>
          <w:color w:val="1F2329"/>
        </w:rPr>
        <w:t>单位直至撤销该分支机构</w:t>
      </w:r>
      <w:r>
        <w:rPr>
          <w:rFonts w:hint="eastAsia"/>
          <w:color w:val="1F2329"/>
          <w:lang w:val="en-US" w:eastAsia="zh-CN"/>
        </w:rPr>
        <w:t>等处理</w:t>
      </w:r>
      <w:r>
        <w:rPr>
          <w:color w:val="1F2329"/>
        </w:rPr>
        <w:t>。</w:t>
      </w:r>
    </w:p>
    <w:p w14:paraId="097E0889">
      <w:pPr>
        <w:pStyle w:val="21"/>
        <w:widowControl/>
        <w:numPr>
          <w:ilvl w:val="0"/>
          <w:numId w:val="0"/>
        </w:numPr>
        <w:ind w:left="0" w:leftChars="0" w:firstLine="0" w:firstLineChars="0"/>
        <w:rPr>
          <w:b w:val="0"/>
        </w:rPr>
      </w:pPr>
      <w:r>
        <w:rPr>
          <w:rFonts w:hint="eastAsia" w:ascii="黑体" w:hAnsi="黑体" w:eastAsia="黑体" w:cs="黑体"/>
          <w:b w:val="0"/>
          <w:bCs/>
          <w:spacing w:val="-6"/>
          <w:kern w:val="44"/>
          <w:sz w:val="32"/>
          <w:szCs w:val="32"/>
          <w:lang w:bidi="ar-SA"/>
        </w:rPr>
        <w:t>第五章</w:t>
      </w:r>
      <w:r>
        <w:rPr>
          <w:rFonts w:hint="eastAsia" w:cs="黑体"/>
          <w:b w:val="0"/>
          <w:bCs/>
          <w:spacing w:val="-6"/>
          <w:kern w:val="44"/>
          <w:sz w:val="32"/>
          <w:szCs w:val="32"/>
          <w:lang w:val="en-US" w:eastAsia="zh-CN" w:bidi="ar-SA"/>
        </w:rPr>
        <w:t xml:space="preserve">  </w:t>
      </w:r>
      <w:r>
        <w:t>附则</w:t>
      </w:r>
    </w:p>
    <w:p w14:paraId="20296D91">
      <w:pPr>
        <w:pStyle w:val="12"/>
        <w:widowControl/>
        <w:numPr>
          <w:ilvl w:val="0"/>
          <w:numId w:val="0"/>
        </w:numPr>
        <w:pBdr>
          <w:top w:val="none" w:color="auto" w:sz="0" w:space="0"/>
          <w:left w:val="none" w:color="auto" w:sz="0" w:space="0"/>
          <w:bottom w:val="none" w:color="auto" w:sz="0" w:space="0"/>
          <w:right w:val="none" w:color="auto" w:sz="0" w:space="0"/>
        </w:pBdr>
        <w:topLinePunct w:val="0"/>
        <w:ind w:left="616" w:leftChars="0"/>
        <w:rPr>
          <w:color w:val="1F2329"/>
        </w:rPr>
      </w:pPr>
      <w:r>
        <w:rPr>
          <w:rFonts w:hint="eastAsia"/>
          <w:b/>
          <w:bCs/>
          <w:color w:val="1F2329"/>
          <w:lang w:val="en-US" w:eastAsia="zh-CN"/>
        </w:rPr>
        <w:t xml:space="preserve">第十四条 </w:t>
      </w:r>
      <w:r>
        <w:rPr>
          <w:color w:val="1F2329"/>
        </w:rPr>
        <w:t>本办法由河南省建设工程质量监督检测行业协会</w:t>
      </w:r>
    </w:p>
    <w:p w14:paraId="4D7C1BBF">
      <w:pPr>
        <w:pStyle w:val="12"/>
        <w:widowControl/>
        <w:numPr>
          <w:ilvl w:val="0"/>
          <w:numId w:val="0"/>
        </w:numPr>
        <w:pBdr>
          <w:top w:val="none" w:color="auto" w:sz="0" w:space="0"/>
          <w:left w:val="none" w:color="auto" w:sz="0" w:space="0"/>
          <w:bottom w:val="none" w:color="auto" w:sz="0" w:space="0"/>
          <w:right w:val="none" w:color="auto" w:sz="0" w:space="0"/>
        </w:pBdr>
        <w:topLinePunct w:val="0"/>
        <w:ind w:left="0" w:leftChars="0" w:firstLine="0" w:firstLineChars="0"/>
        <w:rPr>
          <w:rFonts w:hint="eastAsia" w:ascii="仿宋_GB2312" w:hAnsi="仿宋_GB2312" w:eastAsia="仿宋_GB2312" w:cs="仿宋_GB2312"/>
          <w:b/>
          <w:color w:val="1F2329"/>
        </w:rPr>
      </w:pPr>
      <w:r>
        <w:rPr>
          <w:color w:val="1F2329"/>
        </w:rPr>
        <w:t>秘书处负责解释。</w:t>
      </w:r>
    </w:p>
    <w:p w14:paraId="4AC1F22C">
      <w:pPr>
        <w:pStyle w:val="12"/>
        <w:widowControl/>
        <w:numPr>
          <w:ilvl w:val="0"/>
          <w:numId w:val="0"/>
        </w:numPr>
        <w:pBdr>
          <w:top w:val="none" w:color="auto" w:sz="0" w:space="0"/>
          <w:left w:val="none" w:color="auto" w:sz="0" w:space="0"/>
          <w:bottom w:val="none" w:color="auto" w:sz="0" w:space="0"/>
          <w:right w:val="none" w:color="auto" w:sz="0" w:space="0"/>
        </w:pBdr>
        <w:topLinePunct w:val="0"/>
        <w:ind w:left="616" w:leftChars="0"/>
        <w:rPr>
          <w:rFonts w:hint="eastAsia" w:ascii="仿宋_GB2312" w:hAnsi="仿宋_GB2312" w:eastAsia="仿宋_GB2312" w:cs="仿宋_GB2312"/>
          <w:b/>
          <w:color w:val="1F2329"/>
        </w:rPr>
      </w:pPr>
      <w:r>
        <w:rPr>
          <w:rFonts w:hint="eastAsia"/>
          <w:b/>
          <w:bCs/>
          <w:color w:val="1F2329"/>
          <w:lang w:val="en-US" w:eastAsia="zh-CN"/>
        </w:rPr>
        <w:t xml:space="preserve">第十五条 </w:t>
      </w:r>
      <w:r>
        <w:rPr>
          <w:color w:val="1F2329"/>
        </w:rPr>
        <w:t>本办法</w:t>
      </w:r>
      <w:r>
        <w:rPr>
          <w:rFonts w:hint="eastAsia"/>
          <w:color w:val="1F2329"/>
          <w:lang w:val="en-US" w:eastAsia="zh-CN"/>
        </w:rPr>
        <w:t>经常务理事会</w:t>
      </w:r>
      <w:r>
        <w:rPr>
          <w:color w:val="1F2329"/>
        </w:rPr>
        <w:t>审议通过之日起执行。</w:t>
      </w:r>
    </w:p>
    <w:p w14:paraId="44563ADC">
      <w:pPr>
        <w:pStyle w:val="12"/>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cs="仿宋_GB2312"/>
          <w:spacing w:val="0"/>
          <w:sz w:val="28"/>
          <w:szCs w:val="28"/>
        </w:rPr>
      </w:pPr>
    </w:p>
    <w:p w14:paraId="5D60C449">
      <w:pPr>
        <w:pStyle w:val="12"/>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cs="仿宋_GB2312"/>
          <w:spacing w:val="0"/>
          <w:sz w:val="28"/>
          <w:szCs w:val="28"/>
        </w:rPr>
      </w:pPr>
    </w:p>
    <w:p w14:paraId="41170D09">
      <w:pPr>
        <w:pStyle w:val="12"/>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cs="仿宋_GB2312"/>
          <w:spacing w:val="0"/>
          <w:sz w:val="28"/>
          <w:szCs w:val="28"/>
        </w:rPr>
      </w:pPr>
    </w:p>
    <w:p w14:paraId="1CEEF388">
      <w:pPr>
        <w:pStyle w:val="12"/>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cs="仿宋_GB2312"/>
          <w:spacing w:val="0"/>
          <w:sz w:val="28"/>
          <w:szCs w:val="28"/>
        </w:rPr>
      </w:pPr>
    </w:p>
    <w:p w14:paraId="4559B2F9">
      <w:pPr>
        <w:pStyle w:val="12"/>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cs="仿宋_GB2312"/>
          <w:spacing w:val="0"/>
          <w:sz w:val="28"/>
          <w:szCs w:val="28"/>
        </w:rPr>
      </w:pPr>
    </w:p>
    <w:p w14:paraId="73D78A55">
      <w:pPr>
        <w:pStyle w:val="12"/>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cs="仿宋_GB2312"/>
          <w:spacing w:val="0"/>
          <w:sz w:val="28"/>
          <w:szCs w:val="28"/>
        </w:rPr>
      </w:pPr>
    </w:p>
    <w:p w14:paraId="30B26538">
      <w:pPr>
        <w:pStyle w:val="12"/>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cs="仿宋_GB2312"/>
          <w:spacing w:val="0"/>
          <w:sz w:val="28"/>
          <w:szCs w:val="28"/>
        </w:rPr>
      </w:pPr>
    </w:p>
    <w:p w14:paraId="229517E0">
      <w:pPr>
        <w:pStyle w:val="12"/>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cs="仿宋_GB2312"/>
          <w:spacing w:val="0"/>
          <w:sz w:val="28"/>
          <w:szCs w:val="28"/>
        </w:rPr>
        <w:sectPr>
          <w:headerReference r:id="rId5" w:type="default"/>
          <w:footerReference r:id="rId7" w:type="default"/>
          <w:headerReference r:id="rId6" w:type="even"/>
          <w:footerReference r:id="rId8" w:type="even"/>
          <w:pgSz w:w="11906" w:h="16838"/>
          <w:pgMar w:top="1440" w:right="1800" w:bottom="1440" w:left="1800" w:header="851" w:footer="1417" w:gutter="0"/>
          <w:pgBorders w:offsetFrom="page">
            <w:top w:val="none" w:sz="0" w:space="0"/>
            <w:left w:val="none" w:sz="0" w:space="0"/>
            <w:bottom w:val="none" w:sz="0" w:space="0"/>
            <w:right w:val="none" w:sz="0" w:space="0"/>
          </w:pgBorders>
          <w:pgNumType w:fmt="decimal"/>
          <w:cols w:space="425" w:num="1"/>
          <w:docGrid w:type="linesAndChars" w:linePitch="579" w:charSpace="15"/>
        </w:sectPr>
      </w:pPr>
    </w:p>
    <w:p w14:paraId="7CA52B2E">
      <w:pPr>
        <w:pStyle w:val="2"/>
        <w:keepNext w:val="0"/>
        <w:keepLines w:val="0"/>
        <w:widowControl/>
        <w:suppressLineNumbers w:val="0"/>
        <w:ind w:left="0" w:leftChars="0" w:firstLine="0" w:firstLineChars="0"/>
        <w:jc w:val="both"/>
      </w:pPr>
      <w:r>
        <w:rPr>
          <w:rFonts w:hint="eastAsia"/>
          <w:lang w:val="en-US" w:eastAsia="zh-CN"/>
        </w:rPr>
        <w:t>附件：分支机构（代表机构）</w:t>
      </w:r>
      <w:r>
        <w:t>考核</w:t>
      </w:r>
      <w:r>
        <w:rPr>
          <w:rFonts w:hint="eastAsia"/>
          <w:lang w:val="en-US" w:eastAsia="zh-CN"/>
        </w:rPr>
        <w:t>评分</w:t>
      </w:r>
      <w:r>
        <w:t>表</w:t>
      </w:r>
      <w:bookmarkStart w:id="0" w:name="_GoBack"/>
      <w:bookmarkEnd w:id="0"/>
    </w:p>
    <w:tbl>
      <w:tblPr>
        <w:tblStyle w:val="18"/>
        <w:tblW w:w="12784"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Layout w:type="fixed"/>
        <w:tblCellMar>
          <w:top w:w="15" w:type="dxa"/>
          <w:left w:w="15" w:type="dxa"/>
          <w:bottom w:w="15" w:type="dxa"/>
          <w:right w:w="15" w:type="dxa"/>
        </w:tblCellMar>
      </w:tblPr>
      <w:tblGrid>
        <w:gridCol w:w="805"/>
        <w:gridCol w:w="1860"/>
        <w:gridCol w:w="3360"/>
        <w:gridCol w:w="1178"/>
        <w:gridCol w:w="2107"/>
        <w:gridCol w:w="1110"/>
        <w:gridCol w:w="2364"/>
      </w:tblGrid>
      <w:tr w14:paraId="592FD9C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auto"/>
          <w:tblCellMar>
            <w:top w:w="15" w:type="dxa"/>
            <w:left w:w="15" w:type="dxa"/>
            <w:bottom w:w="15" w:type="dxa"/>
            <w:right w:w="15" w:type="dxa"/>
          </w:tblCellMar>
        </w:tblPrEx>
        <w:trPr>
          <w:trHeight w:val="0" w:hRule="atLeast"/>
          <w:tblHeader/>
          <w:jc w:val="center"/>
        </w:trPr>
        <w:tc>
          <w:tcPr>
            <w:tcW w:w="805" w:type="dxa"/>
            <w:tcBorders>
              <w:tl2br w:val="nil"/>
              <w:tr2bl w:val="nil"/>
            </w:tcBorders>
            <w:shd w:val="clear" w:color="auto" w:fill="auto"/>
            <w:tcMar>
              <w:top w:w="60" w:type="dxa"/>
              <w:left w:w="108" w:type="dxa"/>
              <w:bottom w:w="60" w:type="dxa"/>
              <w:right w:w="108" w:type="dxa"/>
            </w:tcMar>
            <w:vAlign w:val="center"/>
          </w:tcPr>
          <w:p w14:paraId="5B40E54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color w:val="auto"/>
                <w:sz w:val="24"/>
                <w:szCs w:val="24"/>
              </w:rPr>
            </w:pPr>
            <w:r>
              <w:rPr>
                <w:rFonts w:ascii="宋体" w:hAnsi="宋体" w:eastAsia="宋体" w:cs="宋体"/>
                <w:b/>
                <w:color w:val="auto"/>
                <w:kern w:val="0"/>
                <w:sz w:val="24"/>
                <w:szCs w:val="24"/>
                <w:lang w:val="en-US" w:eastAsia="zh-CN" w:bidi="ar"/>
              </w:rPr>
              <w:t>序号</w:t>
            </w:r>
          </w:p>
        </w:tc>
        <w:tc>
          <w:tcPr>
            <w:tcW w:w="1860" w:type="dxa"/>
            <w:tcBorders>
              <w:tl2br w:val="nil"/>
              <w:tr2bl w:val="nil"/>
            </w:tcBorders>
            <w:shd w:val="clear" w:color="auto" w:fill="auto"/>
            <w:tcMar>
              <w:top w:w="60" w:type="dxa"/>
              <w:left w:w="108" w:type="dxa"/>
              <w:bottom w:w="60" w:type="dxa"/>
              <w:right w:w="108" w:type="dxa"/>
            </w:tcMar>
            <w:vAlign w:val="center"/>
          </w:tcPr>
          <w:p w14:paraId="65658C8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color w:val="auto"/>
                <w:sz w:val="24"/>
                <w:szCs w:val="24"/>
              </w:rPr>
            </w:pPr>
            <w:r>
              <w:rPr>
                <w:rFonts w:ascii="宋体" w:hAnsi="宋体" w:eastAsia="宋体" w:cs="宋体"/>
                <w:b/>
                <w:color w:val="auto"/>
                <w:kern w:val="0"/>
                <w:sz w:val="24"/>
                <w:szCs w:val="24"/>
                <w:lang w:val="en-US" w:eastAsia="zh-CN" w:bidi="ar"/>
              </w:rPr>
              <w:t>考核项目</w:t>
            </w:r>
          </w:p>
        </w:tc>
        <w:tc>
          <w:tcPr>
            <w:tcW w:w="3360" w:type="dxa"/>
            <w:tcBorders>
              <w:tl2br w:val="nil"/>
              <w:tr2bl w:val="nil"/>
            </w:tcBorders>
            <w:shd w:val="clear" w:color="auto" w:fill="auto"/>
            <w:tcMar>
              <w:top w:w="60" w:type="dxa"/>
              <w:left w:w="108" w:type="dxa"/>
              <w:bottom w:w="60" w:type="dxa"/>
              <w:right w:w="108" w:type="dxa"/>
            </w:tcMar>
            <w:vAlign w:val="center"/>
          </w:tcPr>
          <w:p w14:paraId="214E0E9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color w:val="auto"/>
                <w:sz w:val="24"/>
                <w:szCs w:val="24"/>
              </w:rPr>
            </w:pPr>
            <w:r>
              <w:rPr>
                <w:rFonts w:ascii="宋体" w:hAnsi="宋体" w:eastAsia="宋体" w:cs="宋体"/>
                <w:b/>
                <w:color w:val="auto"/>
                <w:kern w:val="0"/>
                <w:sz w:val="24"/>
                <w:szCs w:val="24"/>
                <w:lang w:val="en-US" w:eastAsia="zh-CN" w:bidi="ar"/>
              </w:rPr>
              <w:t>评分内容</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056A9A0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color w:val="auto"/>
                <w:sz w:val="24"/>
                <w:szCs w:val="24"/>
              </w:rPr>
            </w:pPr>
            <w:r>
              <w:rPr>
                <w:rFonts w:ascii="宋体" w:hAnsi="宋体" w:eastAsia="宋体" w:cs="宋体"/>
                <w:b/>
                <w:color w:val="auto"/>
                <w:kern w:val="0"/>
                <w:sz w:val="24"/>
                <w:szCs w:val="24"/>
                <w:lang w:val="en-US" w:eastAsia="zh-CN" w:bidi="ar"/>
              </w:rPr>
              <w:t>分数</w:t>
            </w:r>
          </w:p>
        </w:tc>
        <w:tc>
          <w:tcPr>
            <w:tcW w:w="1110" w:type="dxa"/>
            <w:tcBorders>
              <w:tl2br w:val="nil"/>
              <w:tr2bl w:val="nil"/>
            </w:tcBorders>
            <w:shd w:val="clear" w:color="auto" w:fill="auto"/>
            <w:tcMar>
              <w:top w:w="60" w:type="dxa"/>
              <w:left w:w="108" w:type="dxa"/>
              <w:bottom w:w="60" w:type="dxa"/>
              <w:right w:w="108" w:type="dxa"/>
            </w:tcMar>
            <w:vAlign w:val="center"/>
          </w:tcPr>
          <w:p w14:paraId="5322490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得分</w:t>
            </w:r>
          </w:p>
        </w:tc>
        <w:tc>
          <w:tcPr>
            <w:tcW w:w="2364" w:type="dxa"/>
            <w:tcBorders>
              <w:tl2br w:val="nil"/>
              <w:tr2bl w:val="nil"/>
            </w:tcBorders>
            <w:shd w:val="clear" w:color="auto" w:fill="auto"/>
            <w:tcMar>
              <w:top w:w="60" w:type="dxa"/>
              <w:left w:w="108" w:type="dxa"/>
              <w:bottom w:w="60" w:type="dxa"/>
              <w:right w:w="108" w:type="dxa"/>
            </w:tcMar>
            <w:vAlign w:val="center"/>
          </w:tcPr>
          <w:p w14:paraId="649B814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b/>
                <w:color w:val="auto"/>
                <w:sz w:val="24"/>
                <w:szCs w:val="24"/>
              </w:rPr>
            </w:pPr>
            <w:r>
              <w:rPr>
                <w:rFonts w:hint="eastAsia" w:ascii="宋体" w:hAnsi="宋体" w:eastAsia="宋体" w:cs="宋体"/>
                <w:b/>
                <w:color w:val="auto"/>
                <w:kern w:val="0"/>
                <w:sz w:val="24"/>
                <w:szCs w:val="24"/>
                <w:lang w:val="en-US" w:eastAsia="zh-CN" w:bidi="ar"/>
              </w:rPr>
              <w:t>备注</w:t>
            </w:r>
          </w:p>
        </w:tc>
      </w:tr>
      <w:tr w14:paraId="7197CB6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tcBorders>
              <w:tl2br w:val="nil"/>
              <w:tr2bl w:val="nil"/>
            </w:tcBorders>
            <w:shd w:val="clear" w:color="auto" w:fill="auto"/>
            <w:tcMar>
              <w:top w:w="60" w:type="dxa"/>
              <w:left w:w="108" w:type="dxa"/>
              <w:bottom w:w="60" w:type="dxa"/>
              <w:right w:w="108" w:type="dxa"/>
            </w:tcMar>
            <w:vAlign w:val="center"/>
          </w:tcPr>
          <w:p w14:paraId="0A5C301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1</w:t>
            </w:r>
          </w:p>
        </w:tc>
        <w:tc>
          <w:tcPr>
            <w:tcW w:w="1860" w:type="dxa"/>
            <w:tcBorders>
              <w:tl2br w:val="nil"/>
              <w:tr2bl w:val="nil"/>
            </w:tcBorders>
            <w:shd w:val="clear" w:color="auto" w:fill="auto"/>
            <w:tcMar>
              <w:top w:w="60" w:type="dxa"/>
              <w:left w:w="108" w:type="dxa"/>
              <w:bottom w:w="60" w:type="dxa"/>
              <w:right w:w="108" w:type="dxa"/>
            </w:tcMar>
            <w:vAlign w:val="center"/>
          </w:tcPr>
          <w:p w14:paraId="3BD634B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hint="eastAsia" w:ascii="宋体" w:hAnsi="宋体" w:eastAsia="宋体" w:cs="宋体"/>
                <w:color w:val="auto"/>
                <w:kern w:val="0"/>
                <w:sz w:val="24"/>
                <w:szCs w:val="24"/>
                <w:lang w:val="en-US" w:eastAsia="zh-CN" w:bidi="ar"/>
              </w:rPr>
              <w:t>扩展会员队伍</w:t>
            </w:r>
          </w:p>
        </w:tc>
        <w:tc>
          <w:tcPr>
            <w:tcW w:w="3360" w:type="dxa"/>
            <w:tcBorders>
              <w:tl2br w:val="nil"/>
              <w:tr2bl w:val="nil"/>
            </w:tcBorders>
            <w:shd w:val="clear" w:color="auto" w:fill="auto"/>
            <w:tcMar>
              <w:top w:w="60" w:type="dxa"/>
              <w:left w:w="108" w:type="dxa"/>
              <w:bottom w:w="60" w:type="dxa"/>
              <w:right w:w="108" w:type="dxa"/>
            </w:tcMar>
            <w:vAlign w:val="center"/>
          </w:tcPr>
          <w:p w14:paraId="0A14FD6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吸纳</w:t>
            </w:r>
            <w:r>
              <w:rPr>
                <w:rFonts w:hint="eastAsia" w:ascii="宋体" w:hAnsi="宋体" w:eastAsia="宋体" w:cs="宋体"/>
                <w:color w:val="auto"/>
                <w:kern w:val="0"/>
                <w:sz w:val="24"/>
                <w:szCs w:val="24"/>
                <w:lang w:val="en-US" w:eastAsia="zh-CN" w:bidi="ar"/>
              </w:rPr>
              <w:t>新</w:t>
            </w:r>
            <w:r>
              <w:rPr>
                <w:rFonts w:ascii="宋体" w:hAnsi="宋体" w:eastAsia="宋体" w:cs="宋体"/>
                <w:color w:val="auto"/>
                <w:kern w:val="0"/>
                <w:sz w:val="24"/>
                <w:szCs w:val="24"/>
                <w:lang w:val="en-US" w:eastAsia="zh-CN" w:bidi="ar"/>
              </w:rPr>
              <w:t>会员</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03211E6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ascii="宋体" w:hAnsi="宋体" w:eastAsia="宋体" w:cs="宋体"/>
                <w:color w:val="auto"/>
                <w:kern w:val="0"/>
                <w:sz w:val="24"/>
                <w:szCs w:val="24"/>
                <w:lang w:val="en-US" w:eastAsia="zh-CN" w:bidi="ar"/>
              </w:rPr>
              <w:t>2分</w:t>
            </w:r>
            <w:r>
              <w:rPr>
                <w:rFonts w:hint="eastAsia" w:ascii="宋体" w:hAnsi="宋体" w:eastAsia="宋体" w:cs="宋体"/>
                <w:color w:val="auto"/>
                <w:kern w:val="0"/>
                <w:sz w:val="24"/>
                <w:szCs w:val="24"/>
                <w:lang w:val="en-US" w:eastAsia="zh-CN" w:bidi="ar"/>
              </w:rPr>
              <w:t>/个</w:t>
            </w:r>
          </w:p>
        </w:tc>
        <w:tc>
          <w:tcPr>
            <w:tcW w:w="1110" w:type="dxa"/>
            <w:tcBorders>
              <w:tl2br w:val="nil"/>
              <w:tr2bl w:val="nil"/>
            </w:tcBorders>
            <w:shd w:val="clear" w:color="auto" w:fill="auto"/>
            <w:tcMar>
              <w:top w:w="60" w:type="dxa"/>
              <w:left w:w="108" w:type="dxa"/>
              <w:bottom w:w="60" w:type="dxa"/>
              <w:right w:w="108" w:type="dxa"/>
            </w:tcMar>
            <w:vAlign w:val="center"/>
          </w:tcPr>
          <w:p w14:paraId="1FBFC8F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eastAsia="zh-CN"/>
              </w:rPr>
            </w:pPr>
          </w:p>
        </w:tc>
        <w:tc>
          <w:tcPr>
            <w:tcW w:w="2364" w:type="dxa"/>
            <w:tcBorders>
              <w:tl2br w:val="nil"/>
              <w:tr2bl w:val="nil"/>
            </w:tcBorders>
            <w:shd w:val="clear" w:color="auto" w:fill="auto"/>
            <w:tcMar>
              <w:top w:w="60" w:type="dxa"/>
              <w:left w:w="108" w:type="dxa"/>
              <w:bottom w:w="60" w:type="dxa"/>
              <w:right w:w="108" w:type="dxa"/>
            </w:tcMar>
            <w:vAlign w:val="center"/>
          </w:tcPr>
          <w:p w14:paraId="395A229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eastAsia="zh-CN"/>
              </w:rPr>
            </w:pPr>
          </w:p>
        </w:tc>
      </w:tr>
      <w:tr w14:paraId="633680B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restart"/>
            <w:tcBorders>
              <w:tl2br w:val="nil"/>
              <w:tr2bl w:val="nil"/>
            </w:tcBorders>
            <w:shd w:val="clear" w:color="auto" w:fill="auto"/>
            <w:tcMar>
              <w:top w:w="60" w:type="dxa"/>
              <w:left w:w="108" w:type="dxa"/>
              <w:bottom w:w="60" w:type="dxa"/>
              <w:right w:w="108" w:type="dxa"/>
            </w:tcMar>
            <w:vAlign w:val="center"/>
          </w:tcPr>
          <w:p w14:paraId="4F2F15E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2</w:t>
            </w:r>
          </w:p>
        </w:tc>
        <w:tc>
          <w:tcPr>
            <w:tcW w:w="1860" w:type="dxa"/>
            <w:vMerge w:val="restart"/>
            <w:tcBorders>
              <w:tl2br w:val="nil"/>
              <w:tr2bl w:val="nil"/>
            </w:tcBorders>
            <w:shd w:val="clear" w:color="auto" w:fill="auto"/>
            <w:tcMar>
              <w:top w:w="60" w:type="dxa"/>
              <w:left w:w="108" w:type="dxa"/>
              <w:bottom w:w="60" w:type="dxa"/>
              <w:right w:w="108" w:type="dxa"/>
            </w:tcMar>
            <w:vAlign w:val="center"/>
          </w:tcPr>
          <w:p w14:paraId="39C89D4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行业活动</w:t>
            </w:r>
          </w:p>
          <w:p w14:paraId="315332A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与宣传</w:t>
            </w:r>
          </w:p>
        </w:tc>
        <w:tc>
          <w:tcPr>
            <w:tcW w:w="3360" w:type="dxa"/>
            <w:tcBorders>
              <w:tl2br w:val="nil"/>
              <w:tr2bl w:val="nil"/>
            </w:tcBorders>
            <w:shd w:val="clear" w:color="auto" w:fill="auto"/>
            <w:tcMar>
              <w:top w:w="60" w:type="dxa"/>
              <w:left w:w="108" w:type="dxa"/>
              <w:bottom w:w="60" w:type="dxa"/>
              <w:right w:w="108" w:type="dxa"/>
            </w:tcMar>
            <w:vAlign w:val="center"/>
          </w:tcPr>
          <w:p w14:paraId="379A41F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hint="eastAsia" w:ascii="宋体" w:hAnsi="宋体" w:eastAsia="宋体" w:cs="宋体"/>
                <w:color w:val="auto"/>
                <w:kern w:val="0"/>
                <w:sz w:val="24"/>
                <w:szCs w:val="24"/>
                <w:lang w:val="en-US" w:eastAsia="zh-CN" w:bidi="ar"/>
              </w:rPr>
              <w:drawing>
                <wp:inline distT="0" distB="0" distL="114300" distR="114300">
                  <wp:extent cx="142875" cy="142875"/>
                  <wp:effectExtent l="0" t="0" r="9525" b="9525"/>
                  <wp:docPr id="5" name="图片 5" descr="10787477683"/>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1059587859&quot;}"/>
                        </s:tag>
                      </a:ext>
                    </a:extLst>
                  </wp:cNvGraphicFramePr>
                  <a:graphic xmlns:a="http://schemas.openxmlformats.org/drawingml/2006/main">
                    <a:graphicData uri="http://schemas.openxmlformats.org/drawingml/2006/picture">
                      <pic:pic xmlns:pic="http://schemas.openxmlformats.org/drawingml/2006/picture">
                        <pic:nvPicPr>
                          <pic:cNvPr id="5" name="图片 5" descr="10787477683"/>
                          <pic:cNvPicPr>
                            <a:picLocks noChangeAspect="1"/>
                          </pic:cNvPicPr>
                        </pic:nvPicPr>
                        <pic:blipFill>
                          <a:blip r:embed="rId14">
                            <a:extLst>
                              <a:ext uri="{96DAC541-7B7A-43D3-8B79-37D633B846F1}">
                                <asvg:svgBlip xmlns:asvg="http://schemas.microsoft.com/office/drawing/2016/SVG/main" r:embed="rId16"/>
                              </a:ext>
                            </a:extLst>
                          </a:blip>
                          <a:stretch>
                            <a:fillRect/>
                          </a:stretch>
                        </pic:blipFill>
                        <pic:spPr>
                          <a:xfrm>
                            <a:off x="0" y="0"/>
                            <a:ext cx="142875" cy="142875"/>
                          </a:xfrm>
                          <a:prstGeom prst="rect">
                            <a:avLst/>
                          </a:prstGeom>
                        </pic:spPr>
                      </pic:pic>
                    </a:graphicData>
                  </a:graphic>
                </wp:inline>
              </w:drawing>
            </w:r>
            <w:r>
              <w:rPr>
                <w:rFonts w:hint="eastAsia" w:ascii="宋体" w:hAnsi="宋体" w:eastAsia="宋体" w:cs="宋体"/>
                <w:color w:val="auto"/>
                <w:kern w:val="0"/>
                <w:sz w:val="24"/>
                <w:szCs w:val="24"/>
                <w:lang w:val="en-US" w:eastAsia="zh-CN" w:bidi="ar"/>
              </w:rPr>
              <w:t>分支机构会员大会</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7C719FC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hint="eastAsia" w:ascii="宋体" w:hAnsi="宋体" w:eastAsia="宋体" w:cs="宋体"/>
                <w:color w:val="auto"/>
                <w:kern w:val="0"/>
                <w:sz w:val="24"/>
                <w:szCs w:val="24"/>
                <w:lang w:val="en-US" w:eastAsia="zh-CN" w:bidi="ar"/>
              </w:rPr>
              <w:t>10</w:t>
            </w:r>
            <w:r>
              <w:rPr>
                <w:rFonts w:ascii="宋体" w:hAnsi="宋体" w:eastAsia="宋体" w:cs="宋体"/>
                <w:color w:val="auto"/>
                <w:kern w:val="0"/>
                <w:sz w:val="24"/>
                <w:szCs w:val="24"/>
                <w:lang w:val="en-US" w:eastAsia="zh-CN" w:bidi="ar"/>
              </w:rPr>
              <w:t>分/场</w:t>
            </w:r>
            <w:r>
              <w:rPr>
                <w:rFonts w:hint="eastAsia" w:ascii="宋体" w:hAnsi="宋体" w:eastAsia="宋体" w:cs="宋体"/>
                <w:color w:val="auto"/>
                <w:kern w:val="0"/>
                <w:sz w:val="24"/>
                <w:szCs w:val="24"/>
                <w:lang w:val="en-US" w:eastAsia="zh-CN" w:bidi="ar"/>
              </w:rPr>
              <w:t>（最高20分）</w:t>
            </w:r>
          </w:p>
        </w:tc>
        <w:tc>
          <w:tcPr>
            <w:tcW w:w="1110" w:type="dxa"/>
            <w:tcBorders>
              <w:tl2br w:val="nil"/>
              <w:tr2bl w:val="nil"/>
            </w:tcBorders>
            <w:shd w:val="clear" w:color="auto" w:fill="auto"/>
            <w:tcMar>
              <w:top w:w="60" w:type="dxa"/>
              <w:left w:w="108" w:type="dxa"/>
              <w:bottom w:w="60" w:type="dxa"/>
              <w:right w:w="108" w:type="dxa"/>
            </w:tcMar>
            <w:vAlign w:val="center"/>
          </w:tcPr>
          <w:p w14:paraId="0BF8EFF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2364" w:type="dxa"/>
            <w:vMerge w:val="restart"/>
            <w:tcBorders>
              <w:tl2br w:val="nil"/>
              <w:tr2bl w:val="nil"/>
            </w:tcBorders>
            <w:shd w:val="clear" w:color="auto" w:fill="auto"/>
            <w:tcMar>
              <w:top w:w="60" w:type="dxa"/>
              <w:left w:w="108" w:type="dxa"/>
              <w:bottom w:w="60" w:type="dxa"/>
              <w:right w:w="108" w:type="dxa"/>
            </w:tcMar>
            <w:vAlign w:val="center"/>
          </w:tcPr>
          <w:p w14:paraId="6AD650A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hint="eastAsia" w:ascii="宋体" w:hAnsi="宋体" w:eastAsia="宋体" w:cs="宋体"/>
                <w:color w:val="auto"/>
                <w:kern w:val="0"/>
                <w:sz w:val="24"/>
                <w:szCs w:val="24"/>
                <w:lang w:val="en-US" w:eastAsia="zh-CN" w:bidi="ar"/>
              </w:rPr>
              <w:t>提供</w:t>
            </w:r>
            <w:r>
              <w:rPr>
                <w:rFonts w:ascii="宋体" w:hAnsi="宋体" w:eastAsia="宋体" w:cs="宋体"/>
                <w:color w:val="auto"/>
                <w:kern w:val="0"/>
                <w:sz w:val="24"/>
                <w:szCs w:val="24"/>
                <w:lang w:val="en-US" w:eastAsia="zh-CN" w:bidi="ar"/>
              </w:rPr>
              <w:t>活动方案及报备</w:t>
            </w:r>
            <w:r>
              <w:rPr>
                <w:rFonts w:hint="eastAsia" w:ascii="宋体" w:hAnsi="宋体" w:eastAsia="宋体" w:cs="宋体"/>
                <w:color w:val="auto"/>
                <w:kern w:val="0"/>
                <w:sz w:val="24"/>
                <w:szCs w:val="24"/>
                <w:lang w:val="en-US" w:eastAsia="zh-CN" w:bidi="ar"/>
              </w:rPr>
              <w:t>材料</w:t>
            </w:r>
          </w:p>
        </w:tc>
      </w:tr>
      <w:tr w14:paraId="1B6499B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2A4B805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113004C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3360" w:type="dxa"/>
            <w:tcBorders>
              <w:tl2br w:val="nil"/>
              <w:tr2bl w:val="nil"/>
            </w:tcBorders>
            <w:shd w:val="clear" w:color="auto" w:fill="auto"/>
            <w:tcMar>
              <w:top w:w="60" w:type="dxa"/>
              <w:left w:w="108" w:type="dxa"/>
              <w:bottom w:w="60" w:type="dxa"/>
              <w:right w:w="108" w:type="dxa"/>
            </w:tcMar>
            <w:vAlign w:val="center"/>
          </w:tcPr>
          <w:p w14:paraId="6CCA82E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hint="eastAsia" w:ascii="宋体" w:hAnsi="宋体" w:eastAsia="宋体" w:cs="宋体"/>
                <w:color w:val="auto"/>
                <w:kern w:val="0"/>
                <w:sz w:val="24"/>
                <w:szCs w:val="24"/>
                <w:lang w:val="en-US" w:eastAsia="zh-CN" w:bidi="ar"/>
              </w:rPr>
              <w:drawing>
                <wp:inline distT="0" distB="0" distL="114300" distR="114300">
                  <wp:extent cx="142875" cy="142875"/>
                  <wp:effectExtent l="0" t="0" r="9525" b="9525"/>
                  <wp:docPr id="6" name="图片 6" descr="10787477683"/>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1059587859&quot;}"/>
                        </s:tag>
                      </a:ext>
                    </a:extLst>
                  </wp:cNvGraphicFramePr>
                  <a:graphic xmlns:a="http://schemas.openxmlformats.org/drawingml/2006/main">
                    <a:graphicData uri="http://schemas.openxmlformats.org/drawingml/2006/picture">
                      <pic:pic xmlns:pic="http://schemas.openxmlformats.org/drawingml/2006/picture">
                        <pic:nvPicPr>
                          <pic:cNvPr id="6" name="图片 6" descr="10787477683"/>
                          <pic:cNvPicPr>
                            <a:picLocks noChangeAspect="1"/>
                          </pic:cNvPicPr>
                        </pic:nvPicPr>
                        <pic:blipFill>
                          <a:blip r:embed="rId14">
                            <a:extLst>
                              <a:ext uri="{96DAC541-7B7A-43D3-8B79-37D633B846F1}">
                                <asvg:svgBlip xmlns:asvg="http://schemas.microsoft.com/office/drawing/2016/SVG/main" r:embed="rId17"/>
                              </a:ext>
                            </a:extLst>
                          </a:blip>
                          <a:stretch>
                            <a:fillRect/>
                          </a:stretch>
                        </pic:blipFill>
                        <pic:spPr>
                          <a:xfrm>
                            <a:off x="0" y="0"/>
                            <a:ext cx="142875" cy="142875"/>
                          </a:xfrm>
                          <a:prstGeom prst="rect">
                            <a:avLst/>
                          </a:prstGeom>
                        </pic:spPr>
                      </pic:pic>
                    </a:graphicData>
                  </a:graphic>
                </wp:inline>
              </w:drawing>
            </w:r>
            <w:r>
              <w:rPr>
                <w:rFonts w:ascii="宋体" w:hAnsi="宋体" w:eastAsia="宋体" w:cs="宋体"/>
                <w:color w:val="auto"/>
                <w:kern w:val="0"/>
                <w:sz w:val="24"/>
                <w:szCs w:val="24"/>
                <w:lang w:val="en-US" w:eastAsia="zh-CN" w:bidi="ar"/>
              </w:rPr>
              <w:t>座谈会</w:t>
            </w:r>
            <w:r>
              <w:rPr>
                <w:rFonts w:hint="eastAsia" w:ascii="宋体" w:hAnsi="宋体" w:eastAsia="宋体" w:cs="宋体"/>
                <w:color w:val="auto"/>
                <w:kern w:val="0"/>
                <w:sz w:val="24"/>
                <w:szCs w:val="24"/>
                <w:lang w:val="en-US" w:eastAsia="zh-CN" w:bidi="ar"/>
              </w:rPr>
              <w:t>、</w:t>
            </w:r>
            <w:r>
              <w:rPr>
                <w:rFonts w:ascii="宋体" w:hAnsi="宋体" w:eastAsia="宋体" w:cs="宋体"/>
                <w:color w:val="auto"/>
                <w:kern w:val="0"/>
                <w:sz w:val="24"/>
                <w:szCs w:val="24"/>
                <w:lang w:val="en-US" w:eastAsia="zh-CN" w:bidi="ar"/>
              </w:rPr>
              <w:t>交流会</w:t>
            </w:r>
            <w:r>
              <w:rPr>
                <w:rFonts w:hint="eastAsia" w:ascii="宋体" w:hAnsi="宋体" w:eastAsia="宋体" w:cs="宋体"/>
                <w:color w:val="auto"/>
                <w:kern w:val="0"/>
                <w:sz w:val="24"/>
                <w:szCs w:val="24"/>
                <w:lang w:val="en-US" w:eastAsia="zh-CN" w:bidi="ar"/>
              </w:rPr>
              <w:t>、培训会、</w:t>
            </w:r>
            <w:r>
              <w:rPr>
                <w:rFonts w:ascii="宋体" w:hAnsi="宋体" w:eastAsia="宋体" w:cs="宋体"/>
                <w:color w:val="auto"/>
                <w:kern w:val="0"/>
                <w:sz w:val="24"/>
                <w:szCs w:val="24"/>
                <w:lang w:val="en-US" w:eastAsia="zh-CN" w:bidi="ar"/>
              </w:rPr>
              <w:t>技术研讨</w:t>
            </w:r>
            <w:r>
              <w:rPr>
                <w:rFonts w:hint="eastAsia" w:ascii="宋体" w:hAnsi="宋体" w:eastAsia="宋体" w:cs="宋体"/>
                <w:color w:val="auto"/>
                <w:kern w:val="0"/>
                <w:sz w:val="24"/>
                <w:szCs w:val="24"/>
                <w:lang w:val="en-US" w:eastAsia="zh-CN" w:bidi="ar"/>
              </w:rPr>
              <w:t>会、公益讲座、政策解读等</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23BFFD5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hint="eastAsia" w:ascii="宋体" w:hAnsi="宋体" w:eastAsia="宋体" w:cs="宋体"/>
                <w:color w:val="auto"/>
                <w:kern w:val="0"/>
                <w:sz w:val="24"/>
                <w:szCs w:val="24"/>
                <w:lang w:val="en-US" w:eastAsia="zh-CN" w:bidi="ar"/>
              </w:rPr>
              <w:t>5</w:t>
            </w:r>
            <w:r>
              <w:rPr>
                <w:rFonts w:ascii="宋体" w:hAnsi="宋体" w:eastAsia="宋体" w:cs="宋体"/>
                <w:color w:val="auto"/>
                <w:kern w:val="0"/>
                <w:sz w:val="24"/>
                <w:szCs w:val="24"/>
                <w:lang w:val="en-US" w:eastAsia="zh-CN" w:bidi="ar"/>
              </w:rPr>
              <w:t>分/场</w:t>
            </w:r>
          </w:p>
        </w:tc>
        <w:tc>
          <w:tcPr>
            <w:tcW w:w="1110" w:type="dxa"/>
            <w:tcBorders>
              <w:tl2br w:val="nil"/>
              <w:tr2bl w:val="nil"/>
            </w:tcBorders>
            <w:shd w:val="clear" w:color="auto" w:fill="auto"/>
            <w:tcMar>
              <w:top w:w="60" w:type="dxa"/>
              <w:left w:w="108" w:type="dxa"/>
              <w:bottom w:w="60" w:type="dxa"/>
              <w:right w:w="108" w:type="dxa"/>
            </w:tcMar>
            <w:vAlign w:val="center"/>
          </w:tcPr>
          <w:p w14:paraId="43F4FE8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35099A1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r>
      <w:tr w14:paraId="5D972F1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0B28E1F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42726CA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3360" w:type="dxa"/>
            <w:tcBorders>
              <w:tl2br w:val="nil"/>
              <w:tr2bl w:val="nil"/>
            </w:tcBorders>
            <w:shd w:val="clear" w:color="auto" w:fill="auto"/>
            <w:tcMar>
              <w:top w:w="60" w:type="dxa"/>
              <w:left w:w="108" w:type="dxa"/>
              <w:bottom w:w="60" w:type="dxa"/>
              <w:right w:w="108" w:type="dxa"/>
            </w:tcMar>
            <w:vAlign w:val="center"/>
          </w:tcPr>
          <w:p w14:paraId="18305E0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事前报备、事后提交完整材料</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2D8EACA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/次</w:t>
            </w:r>
          </w:p>
        </w:tc>
        <w:tc>
          <w:tcPr>
            <w:tcW w:w="1110" w:type="dxa"/>
            <w:tcBorders>
              <w:tl2br w:val="nil"/>
              <w:tr2bl w:val="nil"/>
            </w:tcBorders>
            <w:shd w:val="clear" w:color="auto" w:fill="auto"/>
            <w:tcMar>
              <w:top w:w="60" w:type="dxa"/>
              <w:left w:w="108" w:type="dxa"/>
              <w:bottom w:w="60" w:type="dxa"/>
              <w:right w:w="108" w:type="dxa"/>
            </w:tcMar>
            <w:vAlign w:val="center"/>
          </w:tcPr>
          <w:p w14:paraId="0DA44CF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799DB1B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r>
      <w:tr w14:paraId="153741B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1857683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7BBBD3A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3360" w:type="dxa"/>
            <w:tcBorders>
              <w:tl2br w:val="nil"/>
              <w:tr2bl w:val="nil"/>
            </w:tcBorders>
            <w:shd w:val="clear" w:color="auto" w:fill="auto"/>
            <w:tcMar>
              <w:top w:w="60" w:type="dxa"/>
              <w:left w:w="108" w:type="dxa"/>
              <w:bottom w:w="60" w:type="dxa"/>
              <w:right w:w="108" w:type="dxa"/>
            </w:tcMar>
            <w:vAlign w:val="center"/>
          </w:tcPr>
          <w:p w14:paraId="20D08D0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hint="eastAsia" w:ascii="宋体" w:hAnsi="宋体" w:eastAsia="宋体" w:cs="宋体"/>
                <w:color w:val="auto"/>
                <w:kern w:val="0"/>
                <w:sz w:val="24"/>
                <w:szCs w:val="24"/>
                <w:lang w:val="en-US" w:eastAsia="zh-CN" w:bidi="ar"/>
              </w:rPr>
              <w:t>协会</w:t>
            </w:r>
            <w:r>
              <w:rPr>
                <w:rFonts w:ascii="宋体" w:hAnsi="宋体" w:eastAsia="宋体" w:cs="宋体"/>
                <w:color w:val="auto"/>
                <w:kern w:val="0"/>
                <w:sz w:val="24"/>
                <w:szCs w:val="24"/>
                <w:lang w:val="en-US" w:eastAsia="zh-CN" w:bidi="ar"/>
              </w:rPr>
              <w:t>官网/公众号发布</w:t>
            </w:r>
            <w:r>
              <w:rPr>
                <w:rFonts w:hint="eastAsia" w:ascii="宋体" w:hAnsi="宋体" w:eastAsia="宋体" w:cs="宋体"/>
                <w:color w:val="auto"/>
                <w:kern w:val="0"/>
                <w:sz w:val="24"/>
                <w:szCs w:val="24"/>
                <w:lang w:val="en-US" w:eastAsia="zh-CN" w:bidi="ar"/>
              </w:rPr>
              <w:t>信息</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0CDFE0F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/条</w:t>
            </w:r>
          </w:p>
        </w:tc>
        <w:tc>
          <w:tcPr>
            <w:tcW w:w="1110" w:type="dxa"/>
            <w:tcBorders>
              <w:tl2br w:val="nil"/>
              <w:tr2bl w:val="nil"/>
            </w:tcBorders>
            <w:shd w:val="clear" w:color="auto" w:fill="auto"/>
            <w:tcMar>
              <w:top w:w="60" w:type="dxa"/>
              <w:left w:w="108" w:type="dxa"/>
              <w:bottom w:w="60" w:type="dxa"/>
              <w:right w:w="108" w:type="dxa"/>
            </w:tcMar>
            <w:vAlign w:val="center"/>
          </w:tcPr>
          <w:p w14:paraId="027B3B9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16E1941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r>
      <w:tr w14:paraId="7830B38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restart"/>
            <w:tcBorders>
              <w:tl2br w:val="nil"/>
              <w:tr2bl w:val="nil"/>
            </w:tcBorders>
            <w:shd w:val="clear" w:color="auto" w:fill="auto"/>
            <w:tcMar>
              <w:top w:w="60" w:type="dxa"/>
              <w:left w:w="108" w:type="dxa"/>
              <w:bottom w:w="60" w:type="dxa"/>
              <w:right w:w="108" w:type="dxa"/>
            </w:tcMar>
            <w:vAlign w:val="center"/>
          </w:tcPr>
          <w:p w14:paraId="4323F14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3</w:t>
            </w:r>
          </w:p>
        </w:tc>
        <w:tc>
          <w:tcPr>
            <w:tcW w:w="1860" w:type="dxa"/>
            <w:vMerge w:val="restart"/>
            <w:tcBorders>
              <w:tl2br w:val="nil"/>
              <w:tr2bl w:val="nil"/>
            </w:tcBorders>
            <w:shd w:val="clear" w:color="auto" w:fill="auto"/>
            <w:tcMar>
              <w:top w:w="60" w:type="dxa"/>
              <w:left w:w="108" w:type="dxa"/>
              <w:bottom w:w="60" w:type="dxa"/>
              <w:right w:w="108" w:type="dxa"/>
            </w:tcMar>
            <w:vAlign w:val="center"/>
          </w:tcPr>
          <w:p w14:paraId="31725DE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行业调研</w:t>
            </w:r>
          </w:p>
        </w:tc>
        <w:tc>
          <w:tcPr>
            <w:tcW w:w="3360" w:type="dxa"/>
            <w:tcBorders>
              <w:tl2br w:val="nil"/>
              <w:tr2bl w:val="nil"/>
            </w:tcBorders>
            <w:shd w:val="clear" w:color="auto" w:fill="auto"/>
            <w:tcMar>
              <w:top w:w="60" w:type="dxa"/>
              <w:left w:w="108" w:type="dxa"/>
              <w:bottom w:w="60" w:type="dxa"/>
              <w:right w:w="108" w:type="dxa"/>
            </w:tcMar>
            <w:vAlign w:val="center"/>
          </w:tcPr>
          <w:p w14:paraId="5E4207A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行业调研报告</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58494D6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hint="eastAsia" w:ascii="宋体" w:hAnsi="宋体" w:eastAsia="宋体" w:cs="宋体"/>
                <w:color w:val="auto"/>
                <w:kern w:val="0"/>
                <w:sz w:val="24"/>
                <w:szCs w:val="24"/>
                <w:lang w:val="en-US" w:eastAsia="zh-CN" w:bidi="ar"/>
              </w:rPr>
              <w:t>10</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/项</w:t>
            </w:r>
          </w:p>
        </w:tc>
        <w:tc>
          <w:tcPr>
            <w:tcW w:w="1110" w:type="dxa"/>
            <w:tcBorders>
              <w:tl2br w:val="nil"/>
              <w:tr2bl w:val="nil"/>
            </w:tcBorders>
            <w:shd w:val="clear" w:color="auto" w:fill="auto"/>
            <w:tcMar>
              <w:top w:w="60" w:type="dxa"/>
              <w:left w:w="108" w:type="dxa"/>
              <w:bottom w:w="60" w:type="dxa"/>
              <w:right w:w="108" w:type="dxa"/>
            </w:tcMar>
            <w:vAlign w:val="center"/>
          </w:tcPr>
          <w:p w14:paraId="17BB1BB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2364" w:type="dxa"/>
            <w:vMerge w:val="restart"/>
            <w:tcBorders>
              <w:tl2br w:val="nil"/>
              <w:tr2bl w:val="nil"/>
            </w:tcBorders>
            <w:shd w:val="clear" w:color="auto" w:fill="auto"/>
            <w:tcMar>
              <w:top w:w="60" w:type="dxa"/>
              <w:left w:w="108" w:type="dxa"/>
              <w:bottom w:w="60" w:type="dxa"/>
              <w:right w:w="108" w:type="dxa"/>
            </w:tcMar>
            <w:vAlign w:val="center"/>
          </w:tcPr>
          <w:p w14:paraId="0D80B4B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hint="eastAsia" w:ascii="宋体" w:hAnsi="宋体" w:eastAsia="宋体" w:cs="宋体"/>
                <w:color w:val="auto"/>
                <w:kern w:val="0"/>
                <w:sz w:val="24"/>
                <w:szCs w:val="24"/>
                <w:lang w:val="en-US" w:eastAsia="zh-CN" w:bidi="ar"/>
              </w:rPr>
              <w:t>提供</w:t>
            </w:r>
            <w:r>
              <w:rPr>
                <w:rFonts w:ascii="宋体" w:hAnsi="宋体" w:eastAsia="宋体" w:cs="宋体"/>
                <w:color w:val="auto"/>
                <w:kern w:val="0"/>
                <w:sz w:val="24"/>
                <w:szCs w:val="24"/>
                <w:lang w:val="en-US" w:eastAsia="zh-CN" w:bidi="ar"/>
              </w:rPr>
              <w:t>调研报告</w:t>
            </w:r>
          </w:p>
        </w:tc>
      </w:tr>
      <w:tr w14:paraId="26BD4CE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0A86715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6F99ADF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3360" w:type="dxa"/>
            <w:tcBorders>
              <w:tl2br w:val="nil"/>
              <w:tr2bl w:val="nil"/>
            </w:tcBorders>
            <w:shd w:val="clear" w:color="auto" w:fill="auto"/>
            <w:tcMar>
              <w:top w:w="60" w:type="dxa"/>
              <w:left w:w="108" w:type="dxa"/>
              <w:bottom w:w="60" w:type="dxa"/>
              <w:right w:w="108" w:type="dxa"/>
            </w:tcMar>
            <w:vAlign w:val="center"/>
          </w:tcPr>
          <w:p w14:paraId="366ABE5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行业调研报告被主管部门采纳</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17BE231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hint="eastAsia" w:ascii="宋体" w:hAnsi="宋体" w:eastAsia="宋体" w:cs="宋体"/>
                <w:color w:val="auto"/>
                <w:kern w:val="0"/>
                <w:sz w:val="24"/>
                <w:szCs w:val="24"/>
                <w:lang w:val="en-US" w:eastAsia="zh-CN" w:bidi="ar"/>
              </w:rPr>
              <w:t>15</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/项</w:t>
            </w:r>
          </w:p>
        </w:tc>
        <w:tc>
          <w:tcPr>
            <w:tcW w:w="1110" w:type="dxa"/>
            <w:tcBorders>
              <w:tl2br w:val="nil"/>
              <w:tr2bl w:val="nil"/>
            </w:tcBorders>
            <w:shd w:val="clear" w:color="auto" w:fill="auto"/>
            <w:tcMar>
              <w:top w:w="60" w:type="dxa"/>
              <w:left w:w="108" w:type="dxa"/>
              <w:bottom w:w="60" w:type="dxa"/>
              <w:right w:w="108" w:type="dxa"/>
            </w:tcMar>
            <w:vAlign w:val="center"/>
          </w:tcPr>
          <w:p w14:paraId="0F71A7A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1E49E57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r>
      <w:tr w14:paraId="3950AEE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1545153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1860" w:type="dxa"/>
            <w:vMerge w:val="restart"/>
            <w:tcBorders>
              <w:tl2br w:val="nil"/>
              <w:tr2bl w:val="nil"/>
            </w:tcBorders>
            <w:shd w:val="clear" w:color="auto" w:fill="auto"/>
            <w:tcMar>
              <w:top w:w="60" w:type="dxa"/>
              <w:left w:w="108" w:type="dxa"/>
              <w:bottom w:w="60" w:type="dxa"/>
              <w:right w:w="108" w:type="dxa"/>
            </w:tcMar>
            <w:vAlign w:val="center"/>
          </w:tcPr>
          <w:p w14:paraId="630A918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ascii="宋体" w:hAnsi="宋体" w:eastAsia="宋体" w:cs="宋体"/>
                <w:color w:val="auto"/>
                <w:kern w:val="0"/>
                <w:sz w:val="24"/>
                <w:szCs w:val="24"/>
                <w:lang w:val="en-US" w:eastAsia="zh-CN" w:bidi="ar"/>
              </w:rPr>
              <w:t>标准</w:t>
            </w:r>
            <w:r>
              <w:rPr>
                <w:rFonts w:hint="eastAsia" w:ascii="宋体" w:hAnsi="宋体" w:eastAsia="宋体" w:cs="宋体"/>
                <w:color w:val="auto"/>
                <w:kern w:val="0"/>
                <w:sz w:val="24"/>
                <w:szCs w:val="24"/>
                <w:lang w:val="en-US" w:eastAsia="zh-CN" w:bidi="ar"/>
              </w:rPr>
              <w:t>、规范</w:t>
            </w:r>
          </w:p>
        </w:tc>
        <w:tc>
          <w:tcPr>
            <w:tcW w:w="3360" w:type="dxa"/>
            <w:vMerge w:val="restart"/>
            <w:tcBorders>
              <w:tl2br w:val="nil"/>
              <w:tr2bl w:val="nil"/>
            </w:tcBorders>
            <w:shd w:val="clear" w:color="auto" w:fill="auto"/>
            <w:tcMar>
              <w:top w:w="60" w:type="dxa"/>
              <w:left w:w="108" w:type="dxa"/>
              <w:bottom w:w="60" w:type="dxa"/>
              <w:right w:w="108" w:type="dxa"/>
            </w:tcMar>
            <w:vAlign w:val="center"/>
          </w:tcPr>
          <w:p w14:paraId="59D1C28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ascii="宋体" w:hAnsi="宋体" w:eastAsia="宋体" w:cs="宋体"/>
                <w:color w:val="auto"/>
                <w:kern w:val="0"/>
                <w:sz w:val="24"/>
                <w:szCs w:val="24"/>
                <w:lang w:val="en-US" w:eastAsia="zh-CN" w:bidi="ar"/>
              </w:rPr>
              <w:t>参与制定</w:t>
            </w:r>
            <w:r>
              <w:rPr>
                <w:rFonts w:hint="eastAsia" w:ascii="宋体" w:hAnsi="宋体" w:eastAsia="宋体" w:cs="宋体"/>
                <w:color w:val="auto"/>
                <w:kern w:val="0"/>
                <w:sz w:val="24"/>
                <w:szCs w:val="24"/>
                <w:lang w:val="en-US" w:eastAsia="zh-CN" w:bidi="ar"/>
              </w:rPr>
              <w:t>标准、规范；协助主管部门制定地方性文件（对应地标）</w:t>
            </w:r>
          </w:p>
        </w:tc>
        <w:tc>
          <w:tcPr>
            <w:tcW w:w="1178" w:type="dxa"/>
            <w:tcBorders>
              <w:tl2br w:val="nil"/>
              <w:tr2bl w:val="nil"/>
            </w:tcBorders>
            <w:shd w:val="clear" w:color="auto" w:fill="auto"/>
            <w:tcMar>
              <w:top w:w="60" w:type="dxa"/>
              <w:left w:w="108" w:type="dxa"/>
              <w:bottom w:w="60" w:type="dxa"/>
              <w:right w:w="108" w:type="dxa"/>
            </w:tcMar>
            <w:vAlign w:val="center"/>
          </w:tcPr>
          <w:p w14:paraId="375CC31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0"/>
                <w:sz w:val="24"/>
                <w:szCs w:val="24"/>
                <w:lang w:val="en-US" w:bidi="ar"/>
              </w:rPr>
            </w:pPr>
            <w:r>
              <w:rPr>
                <w:rFonts w:hint="eastAsia" w:ascii="宋体" w:hAnsi="宋体" w:eastAsia="宋体" w:cs="宋体"/>
                <w:color w:val="auto"/>
                <w:kern w:val="0"/>
                <w:sz w:val="24"/>
                <w:szCs w:val="24"/>
                <w:lang w:val="en-US" w:eastAsia="zh-CN" w:bidi="ar"/>
              </w:rPr>
              <w:t>团标</w:t>
            </w:r>
          </w:p>
        </w:tc>
        <w:tc>
          <w:tcPr>
            <w:tcW w:w="2107" w:type="dxa"/>
            <w:tcBorders>
              <w:tl2br w:val="nil"/>
              <w:tr2bl w:val="nil"/>
            </w:tcBorders>
            <w:shd w:val="clear" w:color="auto" w:fill="auto"/>
            <w:tcMar>
              <w:top w:w="60" w:type="dxa"/>
              <w:left w:w="108" w:type="dxa"/>
              <w:bottom w:w="60" w:type="dxa"/>
              <w:right w:w="108" w:type="dxa"/>
            </w:tcMar>
            <w:vAlign w:val="center"/>
          </w:tcPr>
          <w:p w14:paraId="5510357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5分/项</w:t>
            </w:r>
          </w:p>
        </w:tc>
        <w:tc>
          <w:tcPr>
            <w:tcW w:w="1110" w:type="dxa"/>
            <w:tcBorders>
              <w:tl2br w:val="nil"/>
              <w:tr2bl w:val="nil"/>
            </w:tcBorders>
            <w:shd w:val="clear" w:color="auto" w:fill="auto"/>
            <w:tcMar>
              <w:top w:w="60" w:type="dxa"/>
              <w:left w:w="108" w:type="dxa"/>
              <w:bottom w:w="60" w:type="dxa"/>
              <w:right w:w="108" w:type="dxa"/>
            </w:tcMar>
            <w:vAlign w:val="center"/>
          </w:tcPr>
          <w:p w14:paraId="647C71D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2364" w:type="dxa"/>
            <w:vMerge w:val="restart"/>
            <w:tcBorders>
              <w:tl2br w:val="nil"/>
              <w:tr2bl w:val="nil"/>
            </w:tcBorders>
            <w:shd w:val="clear" w:color="auto" w:fill="auto"/>
            <w:tcMar>
              <w:top w:w="60" w:type="dxa"/>
              <w:left w:w="108" w:type="dxa"/>
              <w:bottom w:w="60" w:type="dxa"/>
              <w:right w:w="108" w:type="dxa"/>
            </w:tcMar>
            <w:vAlign w:val="center"/>
          </w:tcPr>
          <w:p w14:paraId="527362A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hint="eastAsia" w:ascii="宋体" w:hAnsi="宋体" w:eastAsia="宋体" w:cs="宋体"/>
                <w:color w:val="auto"/>
                <w:kern w:val="0"/>
                <w:sz w:val="24"/>
                <w:szCs w:val="24"/>
                <w:lang w:val="en-US" w:eastAsia="zh-CN" w:bidi="ar"/>
              </w:rPr>
              <w:t>需主任或副主任单位参加；提供参加</w:t>
            </w:r>
            <w:r>
              <w:rPr>
                <w:rFonts w:ascii="宋体" w:hAnsi="宋体" w:eastAsia="宋体" w:cs="宋体"/>
                <w:color w:val="auto"/>
                <w:kern w:val="0"/>
                <w:sz w:val="24"/>
                <w:szCs w:val="24"/>
                <w:lang w:val="en-US" w:eastAsia="zh-CN" w:bidi="ar"/>
              </w:rPr>
              <w:t>立项文件、会议</w:t>
            </w:r>
            <w:r>
              <w:rPr>
                <w:rFonts w:hint="eastAsia" w:ascii="宋体" w:hAnsi="宋体" w:eastAsia="宋体" w:cs="宋体"/>
                <w:color w:val="auto"/>
                <w:kern w:val="0"/>
                <w:sz w:val="24"/>
                <w:szCs w:val="24"/>
                <w:lang w:val="en-US" w:eastAsia="zh-CN" w:bidi="ar"/>
              </w:rPr>
              <w:t>材料</w:t>
            </w:r>
            <w:r>
              <w:rPr>
                <w:rFonts w:ascii="宋体" w:hAnsi="宋体" w:eastAsia="宋体" w:cs="宋体"/>
                <w:color w:val="auto"/>
                <w:kern w:val="0"/>
                <w:sz w:val="24"/>
                <w:szCs w:val="24"/>
                <w:lang w:val="en-US" w:eastAsia="zh-CN" w:bidi="ar"/>
              </w:rPr>
              <w:t>、发布文本</w:t>
            </w:r>
            <w:r>
              <w:rPr>
                <w:rFonts w:hint="eastAsia" w:ascii="宋体" w:hAnsi="宋体" w:eastAsia="宋体" w:cs="宋体"/>
                <w:color w:val="auto"/>
                <w:kern w:val="0"/>
                <w:sz w:val="24"/>
                <w:szCs w:val="24"/>
                <w:lang w:val="en-US" w:eastAsia="zh-CN" w:bidi="ar"/>
              </w:rPr>
              <w:t>、参与证明等资料</w:t>
            </w:r>
          </w:p>
        </w:tc>
      </w:tr>
      <w:tr w14:paraId="6D172CA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1D5480D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2909BDC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3360" w:type="dxa"/>
            <w:vMerge w:val="continue"/>
            <w:tcBorders>
              <w:tl2br w:val="nil"/>
              <w:tr2bl w:val="nil"/>
            </w:tcBorders>
            <w:shd w:val="clear" w:color="auto" w:fill="auto"/>
            <w:tcMar>
              <w:top w:w="60" w:type="dxa"/>
              <w:left w:w="108" w:type="dxa"/>
              <w:bottom w:w="60" w:type="dxa"/>
              <w:right w:w="108" w:type="dxa"/>
            </w:tcMar>
            <w:vAlign w:val="center"/>
          </w:tcPr>
          <w:p w14:paraId="2B4736B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178" w:type="dxa"/>
            <w:tcBorders>
              <w:tl2br w:val="nil"/>
              <w:tr2bl w:val="nil"/>
            </w:tcBorders>
            <w:shd w:val="clear" w:color="auto" w:fill="auto"/>
            <w:tcMar>
              <w:top w:w="60" w:type="dxa"/>
              <w:left w:w="108" w:type="dxa"/>
              <w:bottom w:w="60" w:type="dxa"/>
              <w:right w:w="108" w:type="dxa"/>
            </w:tcMar>
            <w:vAlign w:val="center"/>
          </w:tcPr>
          <w:p w14:paraId="75B505F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地标</w:t>
            </w:r>
          </w:p>
        </w:tc>
        <w:tc>
          <w:tcPr>
            <w:tcW w:w="2107" w:type="dxa"/>
            <w:tcBorders>
              <w:tl2br w:val="nil"/>
              <w:tr2bl w:val="nil"/>
            </w:tcBorders>
            <w:shd w:val="clear" w:color="auto" w:fill="auto"/>
            <w:tcMar>
              <w:top w:w="60" w:type="dxa"/>
              <w:left w:w="108" w:type="dxa"/>
              <w:bottom w:w="60" w:type="dxa"/>
              <w:right w:w="108" w:type="dxa"/>
            </w:tcMar>
            <w:vAlign w:val="center"/>
          </w:tcPr>
          <w:p w14:paraId="13B93B5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8分/项</w:t>
            </w:r>
          </w:p>
        </w:tc>
        <w:tc>
          <w:tcPr>
            <w:tcW w:w="1110" w:type="dxa"/>
            <w:tcBorders>
              <w:tl2br w:val="nil"/>
              <w:tr2bl w:val="nil"/>
            </w:tcBorders>
            <w:shd w:val="clear" w:color="auto" w:fill="auto"/>
            <w:tcMar>
              <w:top w:w="60" w:type="dxa"/>
              <w:left w:w="108" w:type="dxa"/>
              <w:bottom w:w="60" w:type="dxa"/>
              <w:right w:w="108" w:type="dxa"/>
            </w:tcMar>
            <w:vAlign w:val="center"/>
          </w:tcPr>
          <w:p w14:paraId="318F959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392A354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r>
      <w:tr w14:paraId="38119FA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2F1A66C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21EC81E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3360" w:type="dxa"/>
            <w:vMerge w:val="continue"/>
            <w:tcBorders>
              <w:tl2br w:val="nil"/>
              <w:tr2bl w:val="nil"/>
            </w:tcBorders>
            <w:shd w:val="clear" w:color="auto" w:fill="auto"/>
            <w:tcMar>
              <w:top w:w="60" w:type="dxa"/>
              <w:left w:w="108" w:type="dxa"/>
              <w:bottom w:w="60" w:type="dxa"/>
              <w:right w:w="108" w:type="dxa"/>
            </w:tcMar>
            <w:vAlign w:val="center"/>
          </w:tcPr>
          <w:p w14:paraId="165F259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178" w:type="dxa"/>
            <w:tcBorders>
              <w:tl2br w:val="nil"/>
              <w:tr2bl w:val="nil"/>
            </w:tcBorders>
            <w:shd w:val="clear" w:color="auto" w:fill="auto"/>
            <w:tcMar>
              <w:top w:w="60" w:type="dxa"/>
              <w:left w:w="108" w:type="dxa"/>
              <w:bottom w:w="60" w:type="dxa"/>
              <w:right w:w="108" w:type="dxa"/>
            </w:tcMar>
            <w:vAlign w:val="center"/>
          </w:tcPr>
          <w:p w14:paraId="56D8035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国标</w:t>
            </w:r>
          </w:p>
        </w:tc>
        <w:tc>
          <w:tcPr>
            <w:tcW w:w="2107" w:type="dxa"/>
            <w:tcBorders>
              <w:tl2br w:val="nil"/>
              <w:tr2bl w:val="nil"/>
            </w:tcBorders>
            <w:shd w:val="clear" w:color="auto" w:fill="auto"/>
            <w:tcMar>
              <w:top w:w="60" w:type="dxa"/>
              <w:left w:w="108" w:type="dxa"/>
              <w:bottom w:w="60" w:type="dxa"/>
              <w:right w:w="108" w:type="dxa"/>
            </w:tcMar>
            <w:vAlign w:val="center"/>
          </w:tcPr>
          <w:p w14:paraId="5EFA94B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10分/项</w:t>
            </w:r>
          </w:p>
        </w:tc>
        <w:tc>
          <w:tcPr>
            <w:tcW w:w="1110" w:type="dxa"/>
            <w:tcBorders>
              <w:tl2br w:val="nil"/>
              <w:tr2bl w:val="nil"/>
            </w:tcBorders>
            <w:shd w:val="clear" w:color="auto" w:fill="auto"/>
            <w:tcMar>
              <w:top w:w="60" w:type="dxa"/>
              <w:left w:w="108" w:type="dxa"/>
              <w:bottom w:w="60" w:type="dxa"/>
              <w:right w:w="108" w:type="dxa"/>
            </w:tcMar>
            <w:vAlign w:val="center"/>
          </w:tcPr>
          <w:p w14:paraId="01531ED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2FF7803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r>
      <w:tr w14:paraId="674B11C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2ACBBFF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32B0591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3360" w:type="dxa"/>
            <w:vMerge w:val="restart"/>
            <w:tcBorders>
              <w:tl2br w:val="nil"/>
              <w:tr2bl w:val="nil"/>
            </w:tcBorders>
            <w:shd w:val="clear" w:color="auto" w:fill="auto"/>
            <w:tcMar>
              <w:top w:w="60" w:type="dxa"/>
              <w:left w:w="108" w:type="dxa"/>
              <w:bottom w:w="60" w:type="dxa"/>
              <w:right w:w="108" w:type="dxa"/>
            </w:tcMar>
            <w:vAlign w:val="center"/>
          </w:tcPr>
          <w:p w14:paraId="1AABDFB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ascii="宋体" w:hAnsi="宋体" w:eastAsia="宋体" w:cs="宋体"/>
                <w:color w:val="auto"/>
                <w:kern w:val="0"/>
                <w:sz w:val="24"/>
                <w:szCs w:val="24"/>
                <w:lang w:val="en-US" w:eastAsia="zh-CN" w:bidi="ar"/>
              </w:rPr>
              <w:t>牵头</w:t>
            </w:r>
            <w:r>
              <w:rPr>
                <w:rFonts w:hint="eastAsia" w:ascii="宋体" w:hAnsi="宋体" w:eastAsia="宋体" w:cs="宋体"/>
                <w:color w:val="auto"/>
                <w:kern w:val="0"/>
                <w:sz w:val="24"/>
                <w:szCs w:val="24"/>
                <w:lang w:val="en-US" w:eastAsia="zh-CN" w:bidi="ar"/>
              </w:rPr>
              <w:t>会员单位</w:t>
            </w:r>
            <w:r>
              <w:rPr>
                <w:rFonts w:ascii="宋体" w:hAnsi="宋体" w:eastAsia="宋体" w:cs="宋体"/>
                <w:color w:val="auto"/>
                <w:kern w:val="0"/>
                <w:sz w:val="24"/>
                <w:szCs w:val="24"/>
                <w:lang w:val="en-US" w:eastAsia="zh-CN" w:bidi="ar"/>
              </w:rPr>
              <w:t>制定</w:t>
            </w:r>
            <w:r>
              <w:rPr>
                <w:rFonts w:hint="eastAsia" w:ascii="宋体" w:hAnsi="宋体" w:eastAsia="宋体" w:cs="宋体"/>
                <w:color w:val="auto"/>
                <w:kern w:val="0"/>
                <w:sz w:val="24"/>
                <w:szCs w:val="24"/>
                <w:lang w:val="en-US" w:eastAsia="zh-CN" w:bidi="ar"/>
              </w:rPr>
              <w:t>标准、规范</w:t>
            </w:r>
          </w:p>
        </w:tc>
        <w:tc>
          <w:tcPr>
            <w:tcW w:w="1178" w:type="dxa"/>
            <w:tcBorders>
              <w:tl2br w:val="nil"/>
              <w:tr2bl w:val="nil"/>
            </w:tcBorders>
            <w:shd w:val="clear" w:color="auto" w:fill="auto"/>
            <w:tcMar>
              <w:top w:w="60" w:type="dxa"/>
              <w:left w:w="108" w:type="dxa"/>
              <w:bottom w:w="60" w:type="dxa"/>
              <w:right w:w="108" w:type="dxa"/>
            </w:tcMar>
            <w:vAlign w:val="center"/>
          </w:tcPr>
          <w:p w14:paraId="7D3C4F7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hint="eastAsia" w:ascii="宋体" w:hAnsi="宋体" w:eastAsia="宋体" w:cs="宋体"/>
                <w:color w:val="auto"/>
                <w:kern w:val="0"/>
                <w:sz w:val="24"/>
                <w:szCs w:val="24"/>
                <w:lang w:val="en-US" w:eastAsia="zh-CN" w:bidi="ar"/>
              </w:rPr>
              <w:t>团标</w:t>
            </w:r>
          </w:p>
        </w:tc>
        <w:tc>
          <w:tcPr>
            <w:tcW w:w="2107" w:type="dxa"/>
            <w:tcBorders>
              <w:tl2br w:val="nil"/>
              <w:tr2bl w:val="nil"/>
            </w:tcBorders>
            <w:shd w:val="clear" w:color="auto" w:fill="auto"/>
            <w:tcMar>
              <w:top w:w="60" w:type="dxa"/>
              <w:left w:w="108" w:type="dxa"/>
              <w:bottom w:w="60" w:type="dxa"/>
              <w:right w:w="108" w:type="dxa"/>
            </w:tcMar>
            <w:vAlign w:val="center"/>
          </w:tcPr>
          <w:p w14:paraId="1C1FCDB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8分/项</w:t>
            </w:r>
          </w:p>
        </w:tc>
        <w:tc>
          <w:tcPr>
            <w:tcW w:w="1110" w:type="dxa"/>
            <w:tcBorders>
              <w:tl2br w:val="nil"/>
              <w:tr2bl w:val="nil"/>
            </w:tcBorders>
            <w:shd w:val="clear" w:color="auto" w:fill="auto"/>
            <w:tcMar>
              <w:top w:w="60" w:type="dxa"/>
              <w:left w:w="108" w:type="dxa"/>
              <w:bottom w:w="60" w:type="dxa"/>
              <w:right w:w="108" w:type="dxa"/>
            </w:tcMar>
            <w:vAlign w:val="center"/>
          </w:tcPr>
          <w:p w14:paraId="1BE470A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58E43A9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r>
      <w:tr w14:paraId="0DB3D12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747F23B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28CD652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3360" w:type="dxa"/>
            <w:vMerge w:val="continue"/>
            <w:tcBorders>
              <w:tl2br w:val="nil"/>
              <w:tr2bl w:val="nil"/>
            </w:tcBorders>
            <w:shd w:val="clear" w:color="auto" w:fill="auto"/>
            <w:tcMar>
              <w:top w:w="60" w:type="dxa"/>
              <w:left w:w="108" w:type="dxa"/>
              <w:bottom w:w="60" w:type="dxa"/>
              <w:right w:w="108" w:type="dxa"/>
            </w:tcMar>
            <w:vAlign w:val="center"/>
          </w:tcPr>
          <w:p w14:paraId="3FA1A8A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178" w:type="dxa"/>
            <w:tcBorders>
              <w:tl2br w:val="nil"/>
              <w:tr2bl w:val="nil"/>
            </w:tcBorders>
            <w:shd w:val="clear" w:color="auto" w:fill="auto"/>
            <w:tcMar>
              <w:top w:w="60" w:type="dxa"/>
              <w:left w:w="108" w:type="dxa"/>
              <w:bottom w:w="60" w:type="dxa"/>
              <w:right w:w="108" w:type="dxa"/>
            </w:tcMar>
            <w:vAlign w:val="center"/>
          </w:tcPr>
          <w:p w14:paraId="148592D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r>
              <w:rPr>
                <w:rFonts w:hint="eastAsia" w:ascii="宋体" w:hAnsi="宋体" w:eastAsia="宋体" w:cs="宋体"/>
                <w:color w:val="auto"/>
                <w:kern w:val="0"/>
                <w:sz w:val="24"/>
                <w:szCs w:val="24"/>
                <w:lang w:val="en-US" w:eastAsia="zh-CN" w:bidi="ar"/>
              </w:rPr>
              <w:t>地标</w:t>
            </w:r>
          </w:p>
        </w:tc>
        <w:tc>
          <w:tcPr>
            <w:tcW w:w="2107" w:type="dxa"/>
            <w:tcBorders>
              <w:tl2br w:val="nil"/>
              <w:tr2bl w:val="nil"/>
            </w:tcBorders>
            <w:shd w:val="clear" w:color="auto" w:fill="auto"/>
            <w:tcMar>
              <w:top w:w="60" w:type="dxa"/>
              <w:left w:w="108" w:type="dxa"/>
              <w:bottom w:w="60" w:type="dxa"/>
              <w:right w:w="108" w:type="dxa"/>
            </w:tcMar>
            <w:vAlign w:val="center"/>
          </w:tcPr>
          <w:p w14:paraId="1172FEF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lang w:val="en-US"/>
              </w:rPr>
            </w:pPr>
            <w:r>
              <w:rPr>
                <w:rFonts w:hint="eastAsia" w:ascii="宋体" w:hAnsi="宋体" w:eastAsia="宋体" w:cs="宋体"/>
                <w:color w:val="auto"/>
                <w:kern w:val="0"/>
                <w:sz w:val="24"/>
                <w:szCs w:val="24"/>
                <w:lang w:val="en-US" w:eastAsia="zh-CN" w:bidi="ar"/>
              </w:rPr>
              <w:t>15分/项</w:t>
            </w:r>
          </w:p>
        </w:tc>
        <w:tc>
          <w:tcPr>
            <w:tcW w:w="1110" w:type="dxa"/>
            <w:tcBorders>
              <w:tl2br w:val="nil"/>
              <w:tr2bl w:val="nil"/>
            </w:tcBorders>
            <w:shd w:val="clear" w:color="auto" w:fill="auto"/>
            <w:tcMar>
              <w:top w:w="60" w:type="dxa"/>
              <w:left w:w="108" w:type="dxa"/>
              <w:bottom w:w="60" w:type="dxa"/>
              <w:right w:w="108" w:type="dxa"/>
            </w:tcMar>
            <w:vAlign w:val="center"/>
          </w:tcPr>
          <w:p w14:paraId="199FE11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4925E8E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r>
      <w:tr w14:paraId="36C199C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075A2C3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3900F90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3360" w:type="dxa"/>
            <w:vMerge w:val="continue"/>
            <w:tcBorders>
              <w:tl2br w:val="nil"/>
              <w:tr2bl w:val="nil"/>
            </w:tcBorders>
            <w:shd w:val="clear" w:color="auto" w:fill="auto"/>
            <w:tcMar>
              <w:top w:w="60" w:type="dxa"/>
              <w:left w:w="108" w:type="dxa"/>
              <w:bottom w:w="60" w:type="dxa"/>
              <w:right w:w="108" w:type="dxa"/>
            </w:tcMar>
            <w:vAlign w:val="center"/>
          </w:tcPr>
          <w:p w14:paraId="071BB4C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178" w:type="dxa"/>
            <w:tcBorders>
              <w:tl2br w:val="nil"/>
              <w:tr2bl w:val="nil"/>
            </w:tcBorders>
            <w:shd w:val="clear" w:color="auto" w:fill="auto"/>
            <w:tcMar>
              <w:top w:w="60" w:type="dxa"/>
              <w:left w:w="108" w:type="dxa"/>
              <w:bottom w:w="60" w:type="dxa"/>
              <w:right w:w="108" w:type="dxa"/>
            </w:tcMar>
            <w:vAlign w:val="center"/>
          </w:tcPr>
          <w:p w14:paraId="5C63CA9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r>
              <w:rPr>
                <w:rFonts w:hint="eastAsia" w:ascii="宋体" w:hAnsi="宋体" w:eastAsia="宋体" w:cs="宋体"/>
                <w:color w:val="auto"/>
                <w:kern w:val="0"/>
                <w:sz w:val="24"/>
                <w:szCs w:val="24"/>
                <w:lang w:val="en-US" w:eastAsia="zh-CN" w:bidi="ar"/>
              </w:rPr>
              <w:t>国标</w:t>
            </w:r>
          </w:p>
        </w:tc>
        <w:tc>
          <w:tcPr>
            <w:tcW w:w="2107" w:type="dxa"/>
            <w:tcBorders>
              <w:tl2br w:val="nil"/>
              <w:tr2bl w:val="nil"/>
            </w:tcBorders>
            <w:shd w:val="clear" w:color="auto" w:fill="auto"/>
            <w:tcMar>
              <w:top w:w="60" w:type="dxa"/>
              <w:left w:w="108" w:type="dxa"/>
              <w:bottom w:w="60" w:type="dxa"/>
              <w:right w:w="108" w:type="dxa"/>
            </w:tcMar>
            <w:vAlign w:val="center"/>
          </w:tcPr>
          <w:p w14:paraId="0C52B0A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lang w:val="en-US"/>
              </w:rPr>
            </w:pPr>
            <w:r>
              <w:rPr>
                <w:rFonts w:hint="eastAsia" w:ascii="宋体" w:hAnsi="宋体" w:eastAsia="宋体" w:cs="宋体"/>
                <w:color w:val="auto"/>
                <w:kern w:val="0"/>
                <w:sz w:val="24"/>
                <w:szCs w:val="24"/>
                <w:lang w:val="en-US" w:eastAsia="zh-CN" w:bidi="ar"/>
              </w:rPr>
              <w:t>20分/项</w:t>
            </w:r>
          </w:p>
        </w:tc>
        <w:tc>
          <w:tcPr>
            <w:tcW w:w="1110" w:type="dxa"/>
            <w:tcBorders>
              <w:tl2br w:val="nil"/>
              <w:tr2bl w:val="nil"/>
            </w:tcBorders>
            <w:shd w:val="clear" w:color="auto" w:fill="auto"/>
            <w:tcMar>
              <w:top w:w="60" w:type="dxa"/>
              <w:left w:w="108" w:type="dxa"/>
              <w:bottom w:w="60" w:type="dxa"/>
              <w:right w:w="108" w:type="dxa"/>
            </w:tcMar>
            <w:vAlign w:val="center"/>
          </w:tcPr>
          <w:p w14:paraId="264D78E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59D4A4E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r>
      <w:tr w14:paraId="3927A3D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restart"/>
            <w:tcBorders>
              <w:tl2br w:val="nil"/>
              <w:tr2bl w:val="nil"/>
            </w:tcBorders>
            <w:shd w:val="clear" w:color="auto" w:fill="auto"/>
            <w:tcMar>
              <w:top w:w="60" w:type="dxa"/>
              <w:left w:w="108" w:type="dxa"/>
              <w:bottom w:w="60" w:type="dxa"/>
              <w:right w:w="108" w:type="dxa"/>
            </w:tcMar>
            <w:vAlign w:val="center"/>
          </w:tcPr>
          <w:p w14:paraId="6E7009B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4</w:t>
            </w:r>
          </w:p>
        </w:tc>
        <w:tc>
          <w:tcPr>
            <w:tcW w:w="1860" w:type="dxa"/>
            <w:vMerge w:val="restart"/>
            <w:tcBorders>
              <w:tl2br w:val="nil"/>
              <w:tr2bl w:val="nil"/>
            </w:tcBorders>
            <w:shd w:val="clear" w:color="auto" w:fill="auto"/>
            <w:tcMar>
              <w:top w:w="60" w:type="dxa"/>
              <w:left w:w="108" w:type="dxa"/>
              <w:bottom w:w="60" w:type="dxa"/>
              <w:right w:w="108" w:type="dxa"/>
            </w:tcMar>
            <w:vAlign w:val="center"/>
          </w:tcPr>
          <w:p w14:paraId="3BF0A9D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技术推广</w:t>
            </w:r>
          </w:p>
          <w:p w14:paraId="1A928EE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与能力提升</w:t>
            </w:r>
          </w:p>
        </w:tc>
        <w:tc>
          <w:tcPr>
            <w:tcW w:w="3360" w:type="dxa"/>
            <w:tcBorders>
              <w:tl2br w:val="nil"/>
              <w:tr2bl w:val="nil"/>
            </w:tcBorders>
            <w:shd w:val="clear" w:color="auto" w:fill="auto"/>
            <w:tcMar>
              <w:top w:w="60" w:type="dxa"/>
              <w:left w:w="108" w:type="dxa"/>
              <w:bottom w:w="60" w:type="dxa"/>
              <w:right w:w="108" w:type="dxa"/>
            </w:tcMar>
            <w:vAlign w:val="center"/>
          </w:tcPr>
          <w:p w14:paraId="74CFF86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hint="eastAsia" w:ascii="宋体" w:hAnsi="宋体" w:eastAsia="宋体" w:cs="宋体"/>
                <w:color w:val="auto"/>
                <w:kern w:val="0"/>
                <w:sz w:val="24"/>
                <w:szCs w:val="24"/>
                <w:lang w:val="en-US" w:eastAsia="zh-CN" w:bidi="ar"/>
              </w:rPr>
              <w:t>参与</w:t>
            </w:r>
            <w:r>
              <w:rPr>
                <w:rFonts w:ascii="宋体" w:hAnsi="宋体" w:eastAsia="宋体" w:cs="宋体"/>
                <w:color w:val="auto"/>
                <w:kern w:val="0"/>
                <w:sz w:val="24"/>
                <w:szCs w:val="24"/>
                <w:lang w:val="en-US" w:eastAsia="zh-CN" w:bidi="ar"/>
              </w:rPr>
              <w:t>推广新技术/新设备</w:t>
            </w:r>
            <w:r>
              <w:rPr>
                <w:rFonts w:hint="eastAsia" w:ascii="宋体" w:hAnsi="宋体" w:eastAsia="宋体" w:cs="宋体"/>
                <w:color w:val="auto"/>
                <w:kern w:val="0"/>
                <w:sz w:val="24"/>
                <w:szCs w:val="24"/>
                <w:lang w:val="en-US" w:eastAsia="zh-CN" w:bidi="ar"/>
              </w:rPr>
              <w:t>、成果评价等</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69307FB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hint="eastAsia" w:ascii="宋体" w:hAnsi="宋体" w:eastAsia="宋体" w:cs="宋体"/>
                <w:color w:val="auto"/>
                <w:kern w:val="0"/>
                <w:sz w:val="24"/>
                <w:szCs w:val="24"/>
                <w:lang w:val="en-US" w:eastAsia="zh-CN" w:bidi="ar"/>
              </w:rPr>
              <w:t>5</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/项</w:t>
            </w:r>
          </w:p>
        </w:tc>
        <w:tc>
          <w:tcPr>
            <w:tcW w:w="1110" w:type="dxa"/>
            <w:vMerge w:val="restart"/>
            <w:tcBorders>
              <w:tl2br w:val="nil"/>
              <w:tr2bl w:val="nil"/>
            </w:tcBorders>
            <w:shd w:val="clear" w:color="auto" w:fill="auto"/>
            <w:tcMar>
              <w:top w:w="60" w:type="dxa"/>
              <w:left w:w="108" w:type="dxa"/>
              <w:bottom w:w="60" w:type="dxa"/>
              <w:right w:w="108" w:type="dxa"/>
            </w:tcMar>
            <w:vAlign w:val="center"/>
          </w:tcPr>
          <w:p w14:paraId="1FEE8B0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color w:val="auto"/>
                <w:kern w:val="0"/>
                <w:sz w:val="24"/>
                <w:szCs w:val="24"/>
                <w:lang w:val="en-US" w:eastAsia="zh-CN" w:bidi="ar"/>
              </w:rPr>
            </w:pPr>
          </w:p>
        </w:tc>
        <w:tc>
          <w:tcPr>
            <w:tcW w:w="2364" w:type="dxa"/>
            <w:vMerge w:val="restart"/>
            <w:tcBorders>
              <w:tl2br w:val="nil"/>
              <w:tr2bl w:val="nil"/>
            </w:tcBorders>
            <w:shd w:val="clear" w:color="auto" w:fill="auto"/>
            <w:tcMar>
              <w:top w:w="60" w:type="dxa"/>
              <w:left w:w="108" w:type="dxa"/>
              <w:bottom w:w="60" w:type="dxa"/>
              <w:right w:w="108" w:type="dxa"/>
            </w:tcMar>
            <w:vAlign w:val="center"/>
          </w:tcPr>
          <w:p w14:paraId="4DBF10C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hint="eastAsia" w:ascii="宋体" w:hAnsi="宋体" w:eastAsia="宋体" w:cs="宋体"/>
                <w:color w:val="auto"/>
                <w:kern w:val="0"/>
                <w:sz w:val="24"/>
                <w:szCs w:val="24"/>
                <w:lang w:val="en-US" w:eastAsia="zh-CN" w:bidi="ar"/>
              </w:rPr>
              <w:t>需主任或副主任单位参加；提供</w:t>
            </w:r>
            <w:r>
              <w:rPr>
                <w:rFonts w:ascii="宋体" w:hAnsi="宋体" w:eastAsia="宋体" w:cs="宋体"/>
                <w:color w:val="auto"/>
                <w:kern w:val="0"/>
                <w:sz w:val="24"/>
                <w:szCs w:val="24"/>
                <w:lang w:val="en-US" w:eastAsia="zh-CN" w:bidi="ar"/>
              </w:rPr>
              <w:t>推广证明</w:t>
            </w:r>
          </w:p>
        </w:tc>
      </w:tr>
      <w:tr w14:paraId="5629859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415AA3B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5FD916C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3360" w:type="dxa"/>
            <w:tcBorders>
              <w:tl2br w:val="nil"/>
              <w:tr2bl w:val="nil"/>
            </w:tcBorders>
            <w:shd w:val="clear" w:color="auto" w:fill="auto"/>
            <w:tcMar>
              <w:top w:w="60" w:type="dxa"/>
              <w:left w:w="108" w:type="dxa"/>
              <w:bottom w:w="60" w:type="dxa"/>
              <w:right w:w="108" w:type="dxa"/>
            </w:tcMar>
            <w:vAlign w:val="center"/>
          </w:tcPr>
          <w:p w14:paraId="2C0911D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牵头</w:t>
            </w:r>
            <w:r>
              <w:rPr>
                <w:rFonts w:hint="eastAsia" w:ascii="宋体" w:hAnsi="宋体" w:eastAsia="宋体" w:cs="宋体"/>
                <w:color w:val="auto"/>
                <w:kern w:val="0"/>
                <w:sz w:val="24"/>
                <w:szCs w:val="24"/>
                <w:lang w:val="en-US" w:eastAsia="zh-CN" w:bidi="ar"/>
              </w:rPr>
              <w:t>会员单位</w:t>
            </w:r>
            <w:r>
              <w:rPr>
                <w:rFonts w:ascii="宋体" w:hAnsi="宋体" w:eastAsia="宋体" w:cs="宋体"/>
                <w:color w:val="auto"/>
                <w:kern w:val="0"/>
                <w:sz w:val="24"/>
                <w:szCs w:val="24"/>
                <w:lang w:val="en-US" w:eastAsia="zh-CN" w:bidi="ar"/>
              </w:rPr>
              <w:t>推广新技术/新设备</w:t>
            </w:r>
            <w:r>
              <w:rPr>
                <w:rFonts w:hint="eastAsia" w:ascii="宋体" w:hAnsi="宋体" w:eastAsia="宋体" w:cs="宋体"/>
                <w:color w:val="auto"/>
                <w:kern w:val="0"/>
                <w:sz w:val="24"/>
                <w:szCs w:val="24"/>
                <w:lang w:val="en-US" w:eastAsia="zh-CN" w:bidi="ar"/>
              </w:rPr>
              <w:t>、成果评价等</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56F3AB5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8分/项</w:t>
            </w:r>
          </w:p>
        </w:tc>
        <w:tc>
          <w:tcPr>
            <w:tcW w:w="1110" w:type="dxa"/>
            <w:vMerge w:val="continue"/>
            <w:tcBorders>
              <w:tl2br w:val="nil"/>
              <w:tr2bl w:val="nil"/>
            </w:tcBorders>
            <w:shd w:val="clear" w:color="auto" w:fill="auto"/>
            <w:tcMar>
              <w:top w:w="60" w:type="dxa"/>
              <w:left w:w="108" w:type="dxa"/>
              <w:bottom w:w="60" w:type="dxa"/>
              <w:right w:w="108" w:type="dxa"/>
            </w:tcMar>
            <w:vAlign w:val="center"/>
          </w:tcPr>
          <w:p w14:paraId="2CC7ED4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color w:val="auto"/>
                <w:kern w:val="0"/>
                <w:sz w:val="24"/>
                <w:szCs w:val="24"/>
                <w:lang w:val="en-US" w:eastAsia="zh-CN" w:bidi="ar"/>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47088B0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color w:val="auto"/>
                <w:kern w:val="0"/>
                <w:sz w:val="24"/>
                <w:szCs w:val="24"/>
                <w:lang w:val="en-US" w:eastAsia="zh-CN" w:bidi="ar"/>
              </w:rPr>
            </w:pPr>
          </w:p>
        </w:tc>
      </w:tr>
      <w:tr w14:paraId="12BF100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3F232E8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106B594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3360" w:type="dxa"/>
            <w:vMerge w:val="restart"/>
            <w:tcBorders>
              <w:tl2br w:val="nil"/>
              <w:tr2bl w:val="nil"/>
            </w:tcBorders>
            <w:shd w:val="clear" w:color="auto" w:fill="auto"/>
            <w:tcMar>
              <w:top w:w="60" w:type="dxa"/>
              <w:left w:w="108" w:type="dxa"/>
              <w:bottom w:w="60" w:type="dxa"/>
              <w:right w:w="108" w:type="dxa"/>
            </w:tcMar>
            <w:vAlign w:val="center"/>
          </w:tcPr>
          <w:p w14:paraId="5D11B55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hint="eastAsia" w:ascii="宋体" w:hAnsi="宋体" w:eastAsia="宋体" w:cs="宋体"/>
                <w:color w:val="auto"/>
                <w:kern w:val="0"/>
                <w:sz w:val="24"/>
                <w:szCs w:val="24"/>
                <w:lang w:val="en-US" w:eastAsia="zh-CN" w:bidi="ar"/>
              </w:rPr>
              <w:drawing>
                <wp:inline distT="0" distB="0" distL="114300" distR="114300">
                  <wp:extent cx="142875" cy="142875"/>
                  <wp:effectExtent l="0" t="0" r="9525" b="9525"/>
                  <wp:docPr id="8" name="图片 8" descr="10787477683"/>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1059587859&quot;}"/>
                        </s:tag>
                      </a:ext>
                    </a:extLst>
                  </wp:cNvGraphicFramePr>
                  <a:graphic xmlns:a="http://schemas.openxmlformats.org/drawingml/2006/main">
                    <a:graphicData uri="http://schemas.openxmlformats.org/drawingml/2006/picture">
                      <pic:pic xmlns:pic="http://schemas.openxmlformats.org/drawingml/2006/picture">
                        <pic:nvPicPr>
                          <pic:cNvPr id="8" name="图片 8" descr="10787477683"/>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42875" cy="142875"/>
                          </a:xfrm>
                          <a:prstGeom prst="rect">
                            <a:avLst/>
                          </a:prstGeom>
                        </pic:spPr>
                      </pic:pic>
                    </a:graphicData>
                  </a:graphic>
                </wp:inline>
              </w:drawing>
            </w:r>
            <w:r>
              <w:rPr>
                <w:rFonts w:ascii="宋体" w:hAnsi="宋体" w:eastAsia="宋体" w:cs="宋体"/>
                <w:color w:val="auto"/>
                <w:kern w:val="0"/>
                <w:sz w:val="24"/>
                <w:szCs w:val="24"/>
                <w:lang w:val="en-US" w:eastAsia="zh-CN" w:bidi="ar"/>
              </w:rPr>
              <w:t>参</w:t>
            </w:r>
            <w:r>
              <w:rPr>
                <w:rFonts w:hint="eastAsia" w:ascii="宋体" w:hAnsi="宋体" w:eastAsia="宋体" w:cs="宋体"/>
                <w:color w:val="auto"/>
                <w:kern w:val="0"/>
                <w:sz w:val="24"/>
                <w:szCs w:val="24"/>
                <w:lang w:val="en-US" w:eastAsia="zh-CN" w:bidi="ar"/>
              </w:rPr>
              <w:t>加</w:t>
            </w:r>
            <w:r>
              <w:rPr>
                <w:rFonts w:ascii="宋体" w:hAnsi="宋体" w:eastAsia="宋体" w:cs="宋体"/>
                <w:color w:val="auto"/>
                <w:kern w:val="0"/>
                <w:sz w:val="24"/>
                <w:szCs w:val="24"/>
                <w:lang w:val="en-US" w:eastAsia="zh-CN" w:bidi="ar"/>
              </w:rPr>
              <w:t>行业竞赛/能力比对活动</w:t>
            </w:r>
          </w:p>
        </w:tc>
        <w:tc>
          <w:tcPr>
            <w:tcW w:w="1178" w:type="dxa"/>
            <w:tcBorders>
              <w:tl2br w:val="nil"/>
              <w:tr2bl w:val="nil"/>
            </w:tcBorders>
            <w:shd w:val="clear" w:color="auto" w:fill="auto"/>
            <w:tcMar>
              <w:top w:w="60" w:type="dxa"/>
              <w:left w:w="108" w:type="dxa"/>
              <w:bottom w:w="60" w:type="dxa"/>
              <w:right w:w="108" w:type="dxa"/>
            </w:tcMar>
            <w:vAlign w:val="center"/>
          </w:tcPr>
          <w:p w14:paraId="3311D1E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地市级</w:t>
            </w:r>
          </w:p>
        </w:tc>
        <w:tc>
          <w:tcPr>
            <w:tcW w:w="2107" w:type="dxa"/>
            <w:tcBorders>
              <w:tl2br w:val="nil"/>
              <w:tr2bl w:val="nil"/>
            </w:tcBorders>
            <w:shd w:val="clear" w:color="auto" w:fill="auto"/>
            <w:tcMar>
              <w:top w:w="60" w:type="dxa"/>
              <w:left w:w="108" w:type="dxa"/>
              <w:bottom w:w="60" w:type="dxa"/>
              <w:right w:w="108" w:type="dxa"/>
            </w:tcMar>
            <w:vAlign w:val="center"/>
          </w:tcPr>
          <w:p w14:paraId="6B7B849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项</w:t>
            </w:r>
          </w:p>
        </w:tc>
        <w:tc>
          <w:tcPr>
            <w:tcW w:w="1110" w:type="dxa"/>
            <w:tcBorders>
              <w:tl2br w:val="nil"/>
              <w:tr2bl w:val="nil"/>
            </w:tcBorders>
            <w:shd w:val="clear" w:color="auto" w:fill="auto"/>
            <w:tcMar>
              <w:top w:w="60" w:type="dxa"/>
              <w:left w:w="108" w:type="dxa"/>
              <w:bottom w:w="60" w:type="dxa"/>
              <w:right w:w="108" w:type="dxa"/>
            </w:tcMar>
            <w:vAlign w:val="center"/>
          </w:tcPr>
          <w:p w14:paraId="4526916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eastAsia="宋体"/>
                <w:color w:val="auto"/>
                <w:sz w:val="24"/>
                <w:szCs w:val="24"/>
                <w:lang w:val="en-US" w:eastAsia="zh-CN"/>
              </w:rPr>
            </w:pPr>
          </w:p>
        </w:tc>
        <w:tc>
          <w:tcPr>
            <w:tcW w:w="2364" w:type="dxa"/>
            <w:vMerge w:val="restart"/>
            <w:tcBorders>
              <w:tl2br w:val="nil"/>
              <w:tr2bl w:val="nil"/>
            </w:tcBorders>
            <w:shd w:val="clear" w:color="auto" w:fill="auto"/>
            <w:tcMar>
              <w:top w:w="60" w:type="dxa"/>
              <w:left w:w="108" w:type="dxa"/>
              <w:bottom w:w="60" w:type="dxa"/>
              <w:right w:w="108" w:type="dxa"/>
            </w:tcMar>
            <w:vAlign w:val="center"/>
          </w:tcPr>
          <w:p w14:paraId="7997F39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eastAsia="zh-CN"/>
              </w:rPr>
            </w:pPr>
            <w:r>
              <w:rPr>
                <w:rFonts w:hint="eastAsia" w:ascii="宋体" w:hAnsi="宋体" w:eastAsia="宋体" w:cs="宋体"/>
                <w:color w:val="auto"/>
                <w:kern w:val="0"/>
                <w:sz w:val="24"/>
                <w:szCs w:val="24"/>
                <w:lang w:val="en-US" w:eastAsia="zh-CN" w:bidi="ar"/>
              </w:rPr>
              <w:t>需主任或副主任单位参加；提供</w:t>
            </w:r>
            <w:r>
              <w:rPr>
                <w:rFonts w:hint="eastAsia" w:ascii="宋体" w:eastAsia="宋体"/>
                <w:color w:val="auto"/>
                <w:sz w:val="24"/>
                <w:szCs w:val="24"/>
                <w:lang w:val="en-US" w:eastAsia="zh-CN"/>
              </w:rPr>
              <w:t>活动材料</w:t>
            </w:r>
          </w:p>
        </w:tc>
      </w:tr>
      <w:tr w14:paraId="37A45E8A">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4497337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4B314CF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3360" w:type="dxa"/>
            <w:vMerge w:val="continue"/>
            <w:tcBorders>
              <w:tl2br w:val="nil"/>
              <w:tr2bl w:val="nil"/>
            </w:tcBorders>
            <w:shd w:val="clear" w:color="auto" w:fill="auto"/>
            <w:tcMar>
              <w:top w:w="60" w:type="dxa"/>
              <w:left w:w="108" w:type="dxa"/>
              <w:bottom w:w="60" w:type="dxa"/>
              <w:right w:w="108" w:type="dxa"/>
            </w:tcMar>
            <w:vAlign w:val="center"/>
          </w:tcPr>
          <w:p w14:paraId="0AAAFFD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178" w:type="dxa"/>
            <w:tcBorders>
              <w:tl2br w:val="nil"/>
              <w:tr2bl w:val="nil"/>
            </w:tcBorders>
            <w:shd w:val="clear" w:color="auto" w:fill="auto"/>
            <w:tcMar>
              <w:top w:w="60" w:type="dxa"/>
              <w:left w:w="108" w:type="dxa"/>
              <w:bottom w:w="60" w:type="dxa"/>
              <w:right w:w="108" w:type="dxa"/>
            </w:tcMar>
            <w:vAlign w:val="center"/>
          </w:tcPr>
          <w:p w14:paraId="4051B95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省部级</w:t>
            </w:r>
          </w:p>
        </w:tc>
        <w:tc>
          <w:tcPr>
            <w:tcW w:w="2107" w:type="dxa"/>
            <w:tcBorders>
              <w:tl2br w:val="nil"/>
              <w:tr2bl w:val="nil"/>
            </w:tcBorders>
            <w:shd w:val="clear" w:color="auto" w:fill="auto"/>
            <w:tcMar>
              <w:top w:w="60" w:type="dxa"/>
              <w:left w:w="108" w:type="dxa"/>
              <w:bottom w:w="60" w:type="dxa"/>
              <w:right w:w="108" w:type="dxa"/>
            </w:tcMar>
            <w:vAlign w:val="center"/>
          </w:tcPr>
          <w:p w14:paraId="707E342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项</w:t>
            </w:r>
          </w:p>
        </w:tc>
        <w:tc>
          <w:tcPr>
            <w:tcW w:w="1110" w:type="dxa"/>
            <w:tcBorders>
              <w:tl2br w:val="nil"/>
              <w:tr2bl w:val="nil"/>
            </w:tcBorders>
            <w:shd w:val="clear" w:color="auto" w:fill="auto"/>
            <w:tcMar>
              <w:top w:w="60" w:type="dxa"/>
              <w:left w:w="108" w:type="dxa"/>
              <w:bottom w:w="60" w:type="dxa"/>
              <w:right w:w="108" w:type="dxa"/>
            </w:tcMar>
            <w:vAlign w:val="center"/>
          </w:tcPr>
          <w:p w14:paraId="719C657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17F93FB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r>
      <w:tr w14:paraId="541D32F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3992F9B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2F32196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3360" w:type="dxa"/>
            <w:vMerge w:val="continue"/>
            <w:tcBorders>
              <w:tl2br w:val="nil"/>
              <w:tr2bl w:val="nil"/>
            </w:tcBorders>
            <w:shd w:val="clear" w:color="auto" w:fill="auto"/>
            <w:tcMar>
              <w:top w:w="60" w:type="dxa"/>
              <w:left w:w="108" w:type="dxa"/>
              <w:bottom w:w="60" w:type="dxa"/>
              <w:right w:w="108" w:type="dxa"/>
            </w:tcMar>
            <w:vAlign w:val="center"/>
          </w:tcPr>
          <w:p w14:paraId="15174AF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178" w:type="dxa"/>
            <w:tcBorders>
              <w:tl2br w:val="nil"/>
              <w:tr2bl w:val="nil"/>
            </w:tcBorders>
            <w:shd w:val="clear" w:color="auto" w:fill="auto"/>
            <w:tcMar>
              <w:top w:w="60" w:type="dxa"/>
              <w:left w:w="108" w:type="dxa"/>
              <w:bottom w:w="60" w:type="dxa"/>
              <w:right w:w="108" w:type="dxa"/>
            </w:tcMar>
            <w:vAlign w:val="center"/>
          </w:tcPr>
          <w:p w14:paraId="2BFF171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国家级</w:t>
            </w:r>
          </w:p>
        </w:tc>
        <w:tc>
          <w:tcPr>
            <w:tcW w:w="2107" w:type="dxa"/>
            <w:tcBorders>
              <w:tl2br w:val="nil"/>
              <w:tr2bl w:val="nil"/>
            </w:tcBorders>
            <w:shd w:val="clear" w:color="auto" w:fill="auto"/>
            <w:tcMar>
              <w:top w:w="60" w:type="dxa"/>
              <w:left w:w="108" w:type="dxa"/>
              <w:bottom w:w="60" w:type="dxa"/>
              <w:right w:w="108" w:type="dxa"/>
            </w:tcMar>
            <w:vAlign w:val="center"/>
          </w:tcPr>
          <w:p w14:paraId="7B727B1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r>
              <w:rPr>
                <w:rFonts w:hint="eastAsia" w:ascii="宋体" w:hAnsi="宋体" w:eastAsia="宋体" w:cs="宋体"/>
                <w:color w:val="auto"/>
                <w:kern w:val="0"/>
                <w:sz w:val="24"/>
                <w:szCs w:val="24"/>
                <w:lang w:val="en-US" w:eastAsia="zh-CN" w:bidi="ar"/>
              </w:rPr>
              <w:t>5</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项</w:t>
            </w:r>
          </w:p>
        </w:tc>
        <w:tc>
          <w:tcPr>
            <w:tcW w:w="1110" w:type="dxa"/>
            <w:tcBorders>
              <w:tl2br w:val="nil"/>
              <w:tr2bl w:val="nil"/>
            </w:tcBorders>
            <w:shd w:val="clear" w:color="auto" w:fill="auto"/>
            <w:tcMar>
              <w:top w:w="60" w:type="dxa"/>
              <w:left w:w="108" w:type="dxa"/>
              <w:bottom w:w="60" w:type="dxa"/>
              <w:right w:w="108" w:type="dxa"/>
            </w:tcMar>
            <w:vAlign w:val="center"/>
          </w:tcPr>
          <w:p w14:paraId="6C369FA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6AEF877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r>
      <w:tr w14:paraId="7CCD613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2F34936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4564145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3360" w:type="dxa"/>
            <w:vMerge w:val="restart"/>
            <w:tcBorders>
              <w:tl2br w:val="nil"/>
              <w:tr2bl w:val="nil"/>
            </w:tcBorders>
            <w:shd w:val="clear" w:color="auto" w:fill="auto"/>
            <w:tcMar>
              <w:top w:w="60" w:type="dxa"/>
              <w:left w:w="108" w:type="dxa"/>
              <w:bottom w:w="60" w:type="dxa"/>
              <w:right w:w="108" w:type="dxa"/>
            </w:tcMar>
            <w:vAlign w:val="center"/>
          </w:tcPr>
          <w:p w14:paraId="17445E2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行业竞赛/能力比对</w:t>
            </w:r>
            <w:r>
              <w:rPr>
                <w:rFonts w:hint="eastAsia" w:ascii="宋体" w:hAnsi="宋体" w:eastAsia="宋体" w:cs="宋体"/>
                <w:color w:val="auto"/>
                <w:kern w:val="0"/>
                <w:sz w:val="24"/>
                <w:szCs w:val="24"/>
                <w:lang w:val="en-US" w:eastAsia="zh-CN" w:bidi="ar"/>
              </w:rPr>
              <w:t>活动</w:t>
            </w:r>
            <w:r>
              <w:rPr>
                <w:rFonts w:ascii="宋体" w:hAnsi="宋体" w:eastAsia="宋体" w:cs="宋体"/>
                <w:color w:val="auto"/>
                <w:kern w:val="0"/>
                <w:sz w:val="24"/>
                <w:szCs w:val="24"/>
                <w:lang w:val="en-US" w:eastAsia="zh-CN" w:bidi="ar"/>
              </w:rPr>
              <w:t>获奖</w:t>
            </w:r>
          </w:p>
        </w:tc>
        <w:tc>
          <w:tcPr>
            <w:tcW w:w="1178" w:type="dxa"/>
            <w:tcBorders>
              <w:tl2br w:val="nil"/>
              <w:tr2bl w:val="nil"/>
            </w:tcBorders>
            <w:shd w:val="clear" w:color="auto" w:fill="auto"/>
            <w:tcMar>
              <w:top w:w="60" w:type="dxa"/>
              <w:left w:w="108" w:type="dxa"/>
              <w:bottom w:w="60" w:type="dxa"/>
              <w:right w:w="108" w:type="dxa"/>
            </w:tcMar>
            <w:vAlign w:val="center"/>
          </w:tcPr>
          <w:p w14:paraId="372EF8D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eastAsia="宋体"/>
                <w:color w:val="auto"/>
                <w:sz w:val="24"/>
                <w:szCs w:val="24"/>
                <w:lang w:val="en-US"/>
              </w:rPr>
            </w:pPr>
            <w:r>
              <w:rPr>
                <w:rFonts w:hint="eastAsia" w:ascii="宋体" w:hAnsi="宋体" w:eastAsia="宋体" w:cs="宋体"/>
                <w:color w:val="auto"/>
                <w:kern w:val="0"/>
                <w:sz w:val="24"/>
                <w:szCs w:val="24"/>
                <w:lang w:val="en-US" w:eastAsia="zh-CN" w:bidi="ar"/>
              </w:rPr>
              <w:t>地市级</w:t>
            </w:r>
          </w:p>
        </w:tc>
        <w:tc>
          <w:tcPr>
            <w:tcW w:w="2107" w:type="dxa"/>
            <w:tcBorders>
              <w:tl2br w:val="nil"/>
              <w:tr2bl w:val="nil"/>
            </w:tcBorders>
            <w:shd w:val="clear" w:color="auto" w:fill="auto"/>
            <w:tcMar>
              <w:top w:w="60" w:type="dxa"/>
              <w:left w:w="108" w:type="dxa"/>
              <w:bottom w:w="60" w:type="dxa"/>
              <w:right w:w="108" w:type="dxa"/>
            </w:tcMar>
            <w:vAlign w:val="center"/>
          </w:tcPr>
          <w:p w14:paraId="40ABC54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3/5/8</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/项</w:t>
            </w:r>
          </w:p>
        </w:tc>
        <w:tc>
          <w:tcPr>
            <w:tcW w:w="1110" w:type="dxa"/>
            <w:tcBorders>
              <w:tl2br w:val="nil"/>
              <w:tr2bl w:val="nil"/>
            </w:tcBorders>
            <w:shd w:val="clear" w:color="auto" w:fill="auto"/>
            <w:tcMar>
              <w:top w:w="60" w:type="dxa"/>
              <w:left w:w="108" w:type="dxa"/>
              <w:bottom w:w="60" w:type="dxa"/>
              <w:right w:w="108" w:type="dxa"/>
            </w:tcMar>
            <w:vAlign w:val="center"/>
          </w:tcPr>
          <w:p w14:paraId="3606375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5B63317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r>
      <w:tr w14:paraId="683A323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6FA9CFE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746DBAB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3360" w:type="dxa"/>
            <w:vMerge w:val="continue"/>
            <w:tcBorders>
              <w:tl2br w:val="nil"/>
              <w:tr2bl w:val="nil"/>
            </w:tcBorders>
            <w:shd w:val="clear" w:color="auto" w:fill="auto"/>
            <w:tcMar>
              <w:top w:w="60" w:type="dxa"/>
              <w:left w:w="108" w:type="dxa"/>
              <w:bottom w:w="60" w:type="dxa"/>
              <w:right w:w="108" w:type="dxa"/>
            </w:tcMar>
            <w:vAlign w:val="center"/>
          </w:tcPr>
          <w:p w14:paraId="637320D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178" w:type="dxa"/>
            <w:tcBorders>
              <w:tl2br w:val="nil"/>
              <w:tr2bl w:val="nil"/>
            </w:tcBorders>
            <w:shd w:val="clear" w:color="auto" w:fill="auto"/>
            <w:tcMar>
              <w:top w:w="60" w:type="dxa"/>
              <w:left w:w="108" w:type="dxa"/>
              <w:bottom w:w="60" w:type="dxa"/>
              <w:right w:w="108" w:type="dxa"/>
            </w:tcMar>
            <w:vAlign w:val="center"/>
          </w:tcPr>
          <w:p w14:paraId="4913C0C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r>
              <w:rPr>
                <w:rFonts w:hint="eastAsia" w:ascii="宋体" w:hAnsi="宋体" w:eastAsia="宋体" w:cs="宋体"/>
                <w:color w:val="auto"/>
                <w:kern w:val="0"/>
                <w:sz w:val="24"/>
                <w:szCs w:val="24"/>
                <w:lang w:val="en-US" w:eastAsia="zh-CN" w:bidi="ar"/>
              </w:rPr>
              <w:t>省部级</w:t>
            </w:r>
          </w:p>
        </w:tc>
        <w:tc>
          <w:tcPr>
            <w:tcW w:w="2107" w:type="dxa"/>
            <w:tcBorders>
              <w:tl2br w:val="nil"/>
              <w:tr2bl w:val="nil"/>
            </w:tcBorders>
            <w:shd w:val="clear" w:color="auto" w:fill="auto"/>
            <w:tcMar>
              <w:top w:w="60" w:type="dxa"/>
              <w:left w:w="108" w:type="dxa"/>
              <w:bottom w:w="60" w:type="dxa"/>
              <w:right w:w="108" w:type="dxa"/>
            </w:tcMar>
            <w:vAlign w:val="center"/>
          </w:tcPr>
          <w:p w14:paraId="5263AAB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r>
              <w:rPr>
                <w:rFonts w:hint="eastAsia" w:ascii="宋体" w:hAnsi="宋体" w:eastAsia="宋体" w:cs="宋体"/>
                <w:color w:val="auto"/>
                <w:kern w:val="0"/>
                <w:sz w:val="24"/>
                <w:szCs w:val="24"/>
                <w:lang w:val="en-US" w:eastAsia="zh-CN" w:bidi="ar"/>
              </w:rPr>
              <w:t>5/8/10</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/项</w:t>
            </w:r>
          </w:p>
        </w:tc>
        <w:tc>
          <w:tcPr>
            <w:tcW w:w="1110" w:type="dxa"/>
            <w:tcBorders>
              <w:tl2br w:val="nil"/>
              <w:tr2bl w:val="nil"/>
            </w:tcBorders>
            <w:shd w:val="clear" w:color="auto" w:fill="auto"/>
            <w:tcMar>
              <w:top w:w="60" w:type="dxa"/>
              <w:left w:w="108" w:type="dxa"/>
              <w:bottom w:w="60" w:type="dxa"/>
              <w:right w:w="108" w:type="dxa"/>
            </w:tcMar>
            <w:vAlign w:val="center"/>
          </w:tcPr>
          <w:p w14:paraId="014CB22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0438564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r>
      <w:tr w14:paraId="05170BD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034C053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670B8B0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3360" w:type="dxa"/>
            <w:vMerge w:val="continue"/>
            <w:tcBorders>
              <w:tl2br w:val="nil"/>
              <w:tr2bl w:val="nil"/>
            </w:tcBorders>
            <w:shd w:val="clear" w:color="auto" w:fill="auto"/>
            <w:tcMar>
              <w:top w:w="60" w:type="dxa"/>
              <w:left w:w="108" w:type="dxa"/>
              <w:bottom w:w="60" w:type="dxa"/>
              <w:right w:w="108" w:type="dxa"/>
            </w:tcMar>
            <w:vAlign w:val="center"/>
          </w:tcPr>
          <w:p w14:paraId="78ABE7A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1178" w:type="dxa"/>
            <w:tcBorders>
              <w:tl2br w:val="nil"/>
              <w:tr2bl w:val="nil"/>
            </w:tcBorders>
            <w:shd w:val="clear" w:color="auto" w:fill="auto"/>
            <w:tcMar>
              <w:top w:w="60" w:type="dxa"/>
              <w:left w:w="108" w:type="dxa"/>
              <w:bottom w:w="60" w:type="dxa"/>
              <w:right w:w="108" w:type="dxa"/>
            </w:tcMar>
            <w:vAlign w:val="center"/>
          </w:tcPr>
          <w:p w14:paraId="4B993E5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r>
              <w:rPr>
                <w:rFonts w:hint="eastAsia" w:ascii="宋体" w:hAnsi="宋体" w:eastAsia="宋体" w:cs="宋体"/>
                <w:color w:val="auto"/>
                <w:kern w:val="0"/>
                <w:sz w:val="24"/>
                <w:szCs w:val="24"/>
                <w:lang w:val="en-US" w:eastAsia="zh-CN" w:bidi="ar"/>
              </w:rPr>
              <w:t>国家级</w:t>
            </w:r>
          </w:p>
        </w:tc>
        <w:tc>
          <w:tcPr>
            <w:tcW w:w="2107" w:type="dxa"/>
            <w:tcBorders>
              <w:tl2br w:val="nil"/>
              <w:tr2bl w:val="nil"/>
            </w:tcBorders>
            <w:shd w:val="clear" w:color="auto" w:fill="auto"/>
            <w:tcMar>
              <w:top w:w="60" w:type="dxa"/>
              <w:left w:w="108" w:type="dxa"/>
              <w:bottom w:w="60" w:type="dxa"/>
              <w:right w:w="108" w:type="dxa"/>
            </w:tcMar>
            <w:vAlign w:val="center"/>
          </w:tcPr>
          <w:p w14:paraId="4C1D2CC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r>
              <w:rPr>
                <w:rFonts w:hint="eastAsia" w:ascii="宋体" w:hAnsi="宋体" w:eastAsia="宋体" w:cs="宋体"/>
                <w:color w:val="auto"/>
                <w:kern w:val="0"/>
                <w:sz w:val="24"/>
                <w:szCs w:val="24"/>
                <w:lang w:val="en-US" w:eastAsia="zh-CN" w:bidi="ar"/>
              </w:rPr>
              <w:t>8/10/12</w:t>
            </w:r>
            <w:r>
              <w:rPr>
                <w:rFonts w:ascii="宋体" w:hAnsi="宋体" w:eastAsia="宋体" w:cs="宋体"/>
                <w:color w:val="auto"/>
                <w:kern w:val="0"/>
                <w:sz w:val="24"/>
                <w:szCs w:val="24"/>
                <w:lang w:val="en-US" w:eastAsia="zh-CN" w:bidi="ar"/>
              </w:rPr>
              <w:t>分</w:t>
            </w:r>
            <w:r>
              <w:rPr>
                <w:rFonts w:hint="eastAsia" w:ascii="宋体" w:hAnsi="宋体" w:eastAsia="宋体" w:cs="宋体"/>
                <w:color w:val="auto"/>
                <w:kern w:val="0"/>
                <w:sz w:val="24"/>
                <w:szCs w:val="24"/>
                <w:lang w:val="en-US" w:eastAsia="zh-CN" w:bidi="ar"/>
              </w:rPr>
              <w:t>/项</w:t>
            </w:r>
          </w:p>
        </w:tc>
        <w:tc>
          <w:tcPr>
            <w:tcW w:w="1110" w:type="dxa"/>
            <w:tcBorders>
              <w:tl2br w:val="nil"/>
              <w:tr2bl w:val="nil"/>
            </w:tcBorders>
            <w:shd w:val="clear" w:color="auto" w:fill="auto"/>
            <w:tcMar>
              <w:top w:w="60" w:type="dxa"/>
              <w:left w:w="108" w:type="dxa"/>
              <w:bottom w:w="60" w:type="dxa"/>
              <w:right w:w="108" w:type="dxa"/>
            </w:tcMar>
            <w:vAlign w:val="center"/>
          </w:tcPr>
          <w:p w14:paraId="4264F49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4350B0D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rPr>
            </w:pPr>
          </w:p>
        </w:tc>
      </w:tr>
      <w:tr w14:paraId="4FFD0DA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vMerge w:val="continue"/>
            <w:tcBorders>
              <w:tl2br w:val="nil"/>
              <w:tr2bl w:val="nil"/>
            </w:tcBorders>
            <w:shd w:val="clear" w:color="auto" w:fill="auto"/>
            <w:tcMar>
              <w:top w:w="60" w:type="dxa"/>
              <w:left w:w="108" w:type="dxa"/>
              <w:bottom w:w="60" w:type="dxa"/>
              <w:right w:w="108" w:type="dxa"/>
            </w:tcMar>
            <w:vAlign w:val="center"/>
          </w:tcPr>
          <w:p w14:paraId="5E9DE02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1860" w:type="dxa"/>
            <w:vMerge w:val="continue"/>
            <w:tcBorders>
              <w:tl2br w:val="nil"/>
              <w:tr2bl w:val="nil"/>
            </w:tcBorders>
            <w:shd w:val="clear" w:color="auto" w:fill="auto"/>
            <w:tcMar>
              <w:top w:w="60" w:type="dxa"/>
              <w:left w:w="108" w:type="dxa"/>
              <w:bottom w:w="60" w:type="dxa"/>
              <w:right w:w="108" w:type="dxa"/>
            </w:tcMar>
            <w:vAlign w:val="center"/>
          </w:tcPr>
          <w:p w14:paraId="4ECE2C2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c>
          <w:tcPr>
            <w:tcW w:w="3360" w:type="dxa"/>
            <w:tcBorders>
              <w:tl2br w:val="nil"/>
              <w:tr2bl w:val="nil"/>
            </w:tcBorders>
            <w:shd w:val="clear" w:color="auto" w:fill="auto"/>
            <w:tcMar>
              <w:top w:w="60" w:type="dxa"/>
              <w:left w:w="108" w:type="dxa"/>
              <w:bottom w:w="60" w:type="dxa"/>
              <w:right w:w="108" w:type="dxa"/>
            </w:tcMar>
            <w:vAlign w:val="center"/>
          </w:tcPr>
          <w:p w14:paraId="3D1836C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协助开展实操培训</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0B56562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r>
              <w:rPr>
                <w:rFonts w:ascii="宋体" w:hAnsi="宋体" w:eastAsia="宋体" w:cs="宋体"/>
                <w:color w:val="auto"/>
                <w:kern w:val="0"/>
                <w:sz w:val="24"/>
                <w:szCs w:val="24"/>
                <w:lang w:val="en-US" w:eastAsia="zh-CN" w:bidi="ar"/>
              </w:rPr>
              <w:t>2分/场</w:t>
            </w:r>
          </w:p>
        </w:tc>
        <w:tc>
          <w:tcPr>
            <w:tcW w:w="1110" w:type="dxa"/>
            <w:tcBorders>
              <w:tl2br w:val="nil"/>
              <w:tr2bl w:val="nil"/>
            </w:tcBorders>
            <w:shd w:val="clear" w:color="auto" w:fill="auto"/>
            <w:tcMar>
              <w:top w:w="60" w:type="dxa"/>
              <w:left w:w="108" w:type="dxa"/>
              <w:bottom w:w="60" w:type="dxa"/>
              <w:right w:w="108" w:type="dxa"/>
            </w:tcMar>
            <w:vAlign w:val="center"/>
          </w:tcPr>
          <w:p w14:paraId="703229AE">
            <w:pPr>
              <w:keepNext w:val="0"/>
              <w:keepLines w:val="0"/>
              <w:widowControl/>
              <w:suppressLineNumbers w:val="0"/>
              <w:pBdr>
                <w:top w:val="none" w:color="auto" w:sz="0" w:space="0"/>
                <w:left w:val="none" w:color="auto" w:sz="0" w:space="0"/>
                <w:bottom w:val="none" w:color="auto" w:sz="0" w:space="0"/>
                <w:right w:val="none" w:color="auto" w:sz="0" w:space="0"/>
              </w:pBdr>
              <w:tabs>
                <w:tab w:val="left" w:pos="260"/>
              </w:tabs>
              <w:snapToGrid w:val="0"/>
              <w:ind w:left="0" w:leftChars="0" w:right="0" w:rightChars="0" w:firstLine="0" w:firstLineChars="0"/>
              <w:jc w:val="center"/>
              <w:textAlignment w:val="top"/>
              <w:rPr>
                <w:rFonts w:hint="eastAsia" w:ascii="宋体" w:eastAsia="宋体"/>
                <w:color w:val="auto"/>
                <w:sz w:val="24"/>
                <w:szCs w:val="24"/>
                <w:lang w:eastAsia="zh-CN"/>
              </w:rPr>
            </w:pPr>
          </w:p>
        </w:tc>
        <w:tc>
          <w:tcPr>
            <w:tcW w:w="2364" w:type="dxa"/>
            <w:vMerge w:val="continue"/>
            <w:tcBorders>
              <w:tl2br w:val="nil"/>
              <w:tr2bl w:val="nil"/>
            </w:tcBorders>
            <w:shd w:val="clear" w:color="auto" w:fill="auto"/>
            <w:tcMar>
              <w:top w:w="60" w:type="dxa"/>
              <w:left w:w="108" w:type="dxa"/>
              <w:bottom w:w="60" w:type="dxa"/>
              <w:right w:w="108" w:type="dxa"/>
            </w:tcMar>
            <w:vAlign w:val="center"/>
          </w:tcPr>
          <w:p w14:paraId="4231BEF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eastAsia="宋体"/>
                <w:color w:val="auto"/>
                <w:sz w:val="24"/>
                <w:szCs w:val="24"/>
              </w:rPr>
            </w:pPr>
          </w:p>
        </w:tc>
      </w:tr>
      <w:tr w14:paraId="67B950E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tcBorders>
              <w:tl2br w:val="nil"/>
              <w:tr2bl w:val="nil"/>
            </w:tcBorders>
            <w:shd w:val="clear" w:color="auto" w:fill="auto"/>
            <w:tcMar>
              <w:top w:w="60" w:type="dxa"/>
              <w:left w:w="108" w:type="dxa"/>
              <w:bottom w:w="60" w:type="dxa"/>
              <w:right w:w="108" w:type="dxa"/>
            </w:tcMar>
            <w:vAlign w:val="center"/>
          </w:tcPr>
          <w:p w14:paraId="778C313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spacing w:val="-6"/>
                <w:kern w:val="0"/>
                <w:sz w:val="24"/>
                <w:szCs w:val="24"/>
                <w:lang w:val="en-US" w:eastAsia="zh-CN" w:bidi="ar"/>
              </w:rPr>
            </w:pPr>
            <w:r>
              <w:rPr>
                <w:rFonts w:hint="eastAsia" w:ascii="宋体" w:hAnsi="宋体" w:eastAsia="宋体" w:cs="宋体"/>
                <w:color w:val="auto"/>
                <w:kern w:val="0"/>
                <w:sz w:val="24"/>
                <w:szCs w:val="24"/>
                <w:lang w:val="en-US" w:eastAsia="zh-CN" w:bidi="ar"/>
              </w:rPr>
              <w:t>5</w:t>
            </w:r>
          </w:p>
        </w:tc>
        <w:tc>
          <w:tcPr>
            <w:tcW w:w="1860" w:type="dxa"/>
            <w:tcBorders>
              <w:tl2br w:val="nil"/>
              <w:tr2bl w:val="nil"/>
            </w:tcBorders>
            <w:shd w:val="clear" w:color="auto" w:fill="auto"/>
            <w:tcMar>
              <w:top w:w="60" w:type="dxa"/>
              <w:left w:w="108" w:type="dxa"/>
              <w:bottom w:w="60" w:type="dxa"/>
              <w:right w:w="108" w:type="dxa"/>
            </w:tcMar>
            <w:vAlign w:val="center"/>
          </w:tcPr>
          <w:p w14:paraId="3F8827D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spacing w:val="-6"/>
                <w:kern w:val="0"/>
                <w:sz w:val="24"/>
                <w:szCs w:val="24"/>
                <w:lang w:val="en-US" w:eastAsia="zh-CN" w:bidi="ar"/>
              </w:rPr>
            </w:pPr>
            <w:r>
              <w:rPr>
                <w:rFonts w:hint="eastAsia" w:ascii="宋体" w:hAnsi="宋体" w:eastAsia="宋体" w:cs="宋体"/>
                <w:color w:val="auto"/>
                <w:kern w:val="0"/>
                <w:sz w:val="24"/>
                <w:szCs w:val="24"/>
                <w:lang w:val="en-US" w:eastAsia="zh-CN" w:bidi="ar"/>
              </w:rPr>
              <w:t>执行落实</w:t>
            </w:r>
          </w:p>
        </w:tc>
        <w:tc>
          <w:tcPr>
            <w:tcW w:w="3360" w:type="dxa"/>
            <w:tcBorders>
              <w:tl2br w:val="nil"/>
              <w:tr2bl w:val="nil"/>
            </w:tcBorders>
            <w:shd w:val="clear" w:color="auto" w:fill="auto"/>
            <w:tcMar>
              <w:top w:w="60" w:type="dxa"/>
              <w:left w:w="108" w:type="dxa"/>
              <w:bottom w:w="60" w:type="dxa"/>
              <w:right w:w="108" w:type="dxa"/>
            </w:tcMar>
            <w:vAlign w:val="center"/>
          </w:tcPr>
          <w:p w14:paraId="7A436B1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spacing w:val="-6"/>
                <w:kern w:val="0"/>
                <w:sz w:val="24"/>
                <w:szCs w:val="24"/>
                <w:lang w:val="en-US" w:eastAsia="zh-CN" w:bidi="ar"/>
              </w:rPr>
            </w:pPr>
            <w:r>
              <w:rPr>
                <w:rFonts w:hint="eastAsia" w:ascii="宋体" w:hAnsi="宋体" w:eastAsia="宋体" w:cs="宋体"/>
                <w:color w:val="auto"/>
                <w:kern w:val="0"/>
                <w:sz w:val="24"/>
                <w:szCs w:val="24"/>
                <w:lang w:val="en-US" w:eastAsia="zh-CN" w:bidi="ar"/>
              </w:rPr>
              <w:drawing>
                <wp:inline distT="0" distB="0" distL="114300" distR="114300">
                  <wp:extent cx="142875" cy="142875"/>
                  <wp:effectExtent l="0" t="0" r="9525" b="9525"/>
                  <wp:docPr id="7" name="图片 7" descr="10787477683"/>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1059587859&quot;}"/>
                        </s:tag>
                      </a:ext>
                    </a:extLst>
                  </wp:cNvGraphicFramePr>
                  <a:graphic xmlns:a="http://schemas.openxmlformats.org/drawingml/2006/main">
                    <a:graphicData uri="http://schemas.openxmlformats.org/drawingml/2006/picture">
                      <pic:pic xmlns:pic="http://schemas.openxmlformats.org/drawingml/2006/picture">
                        <pic:nvPicPr>
                          <pic:cNvPr id="7" name="图片 7" descr="10787477683"/>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42875" cy="142875"/>
                          </a:xfrm>
                          <a:prstGeom prst="rect">
                            <a:avLst/>
                          </a:prstGeom>
                        </pic:spPr>
                      </pic:pic>
                    </a:graphicData>
                  </a:graphic>
                </wp:inline>
              </w:drawing>
            </w:r>
            <w:r>
              <w:rPr>
                <w:rFonts w:hint="eastAsia" w:ascii="宋体" w:hAnsi="宋体" w:eastAsia="宋体" w:cs="宋体"/>
                <w:color w:val="auto"/>
                <w:kern w:val="0"/>
                <w:sz w:val="24"/>
                <w:szCs w:val="24"/>
                <w:lang w:val="en-US" w:eastAsia="zh-CN" w:bidi="ar"/>
              </w:rPr>
              <w:t>及时报送工作总结、计划及要求的其他材料</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0CDD976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spacing w:val="-6"/>
                <w:kern w:val="0"/>
                <w:sz w:val="24"/>
                <w:szCs w:val="24"/>
                <w:lang w:val="en-US" w:eastAsia="zh-CN" w:bidi="ar"/>
              </w:rPr>
            </w:pPr>
            <w:r>
              <w:rPr>
                <w:rFonts w:hint="eastAsia" w:ascii="宋体" w:hAnsi="宋体" w:eastAsia="宋体" w:cs="宋体"/>
                <w:color w:val="auto"/>
                <w:kern w:val="0"/>
                <w:sz w:val="24"/>
                <w:szCs w:val="24"/>
                <w:lang w:val="en-US" w:eastAsia="zh-CN" w:bidi="ar"/>
              </w:rPr>
              <w:t>5分/次</w:t>
            </w:r>
          </w:p>
        </w:tc>
        <w:tc>
          <w:tcPr>
            <w:tcW w:w="1110" w:type="dxa"/>
            <w:tcBorders>
              <w:tl2br w:val="nil"/>
              <w:tr2bl w:val="nil"/>
            </w:tcBorders>
            <w:shd w:val="clear" w:color="auto" w:fill="auto"/>
            <w:tcMar>
              <w:top w:w="60" w:type="dxa"/>
              <w:left w:w="108" w:type="dxa"/>
              <w:bottom w:w="60" w:type="dxa"/>
              <w:right w:w="108" w:type="dxa"/>
            </w:tcMar>
            <w:vAlign w:val="center"/>
          </w:tcPr>
          <w:p w14:paraId="10E3CD5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仿宋_GB2312" w:eastAsia="宋体" w:cs="Times New Roman"/>
                <w:color w:val="auto"/>
                <w:spacing w:val="-6"/>
                <w:kern w:val="2"/>
                <w:sz w:val="24"/>
                <w:szCs w:val="24"/>
                <w:lang w:val="en-US" w:eastAsia="zh-CN" w:bidi="ar-SA"/>
              </w:rPr>
            </w:pPr>
          </w:p>
        </w:tc>
        <w:tc>
          <w:tcPr>
            <w:tcW w:w="2364" w:type="dxa"/>
            <w:tcBorders>
              <w:tl2br w:val="nil"/>
              <w:tr2bl w:val="nil"/>
            </w:tcBorders>
            <w:shd w:val="clear" w:color="auto" w:fill="auto"/>
            <w:tcMar>
              <w:top w:w="60" w:type="dxa"/>
              <w:left w:w="108" w:type="dxa"/>
              <w:bottom w:w="60" w:type="dxa"/>
              <w:right w:w="108" w:type="dxa"/>
            </w:tcMar>
            <w:vAlign w:val="center"/>
          </w:tcPr>
          <w:p w14:paraId="37AA4EC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仿宋_GB2312" w:eastAsia="宋体" w:cs="Times New Roman"/>
                <w:color w:val="auto"/>
                <w:spacing w:val="-6"/>
                <w:kern w:val="2"/>
                <w:sz w:val="24"/>
                <w:szCs w:val="24"/>
                <w:lang w:val="en-US" w:eastAsia="zh-CN" w:bidi="ar-SA"/>
              </w:rPr>
            </w:pPr>
            <w:r>
              <w:rPr>
                <w:rFonts w:hint="eastAsia" w:ascii="宋体" w:eastAsia="宋体"/>
                <w:color w:val="auto"/>
                <w:sz w:val="24"/>
                <w:szCs w:val="24"/>
                <w:lang w:val="en-US" w:eastAsia="zh-CN"/>
              </w:rPr>
              <w:t>提供相关材料</w:t>
            </w:r>
          </w:p>
        </w:tc>
      </w:tr>
      <w:tr w14:paraId="2DF247D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tcBorders>
              <w:tl2br w:val="nil"/>
              <w:tr2bl w:val="nil"/>
            </w:tcBorders>
            <w:shd w:val="clear" w:color="auto" w:fill="auto"/>
            <w:tcMar>
              <w:top w:w="60" w:type="dxa"/>
              <w:left w:w="108" w:type="dxa"/>
              <w:bottom w:w="60" w:type="dxa"/>
              <w:right w:w="108" w:type="dxa"/>
            </w:tcMar>
            <w:vAlign w:val="center"/>
          </w:tcPr>
          <w:p w14:paraId="2B112BD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仿宋_GB2312" w:eastAsia="宋体" w:cs="Times New Roman"/>
                <w:color w:val="auto"/>
                <w:spacing w:val="-6"/>
                <w:kern w:val="2"/>
                <w:sz w:val="24"/>
                <w:szCs w:val="24"/>
                <w:lang w:val="en-US" w:eastAsia="zh-CN" w:bidi="ar-SA"/>
              </w:rPr>
            </w:pPr>
            <w:r>
              <w:rPr>
                <w:rFonts w:hint="eastAsia" w:ascii="宋体" w:hAnsi="宋体" w:eastAsia="宋体" w:cs="宋体"/>
                <w:color w:val="auto"/>
                <w:kern w:val="0"/>
                <w:sz w:val="24"/>
                <w:szCs w:val="24"/>
                <w:lang w:val="en-US" w:eastAsia="zh-CN" w:bidi="ar"/>
              </w:rPr>
              <w:t>6</w:t>
            </w:r>
          </w:p>
        </w:tc>
        <w:tc>
          <w:tcPr>
            <w:tcW w:w="1860" w:type="dxa"/>
            <w:tcBorders>
              <w:tl2br w:val="nil"/>
              <w:tr2bl w:val="nil"/>
            </w:tcBorders>
            <w:shd w:val="clear" w:color="auto" w:fill="auto"/>
            <w:tcMar>
              <w:top w:w="60" w:type="dxa"/>
              <w:left w:w="108" w:type="dxa"/>
              <w:bottom w:w="60" w:type="dxa"/>
              <w:right w:w="108" w:type="dxa"/>
            </w:tcMar>
            <w:vAlign w:val="center"/>
          </w:tcPr>
          <w:p w14:paraId="061AABE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仿宋_GB2312" w:eastAsia="宋体" w:cs="Times New Roman"/>
                <w:color w:val="auto"/>
                <w:spacing w:val="-6"/>
                <w:kern w:val="2"/>
                <w:sz w:val="24"/>
                <w:szCs w:val="24"/>
                <w:lang w:val="en-US" w:eastAsia="zh-CN" w:bidi="ar-SA"/>
              </w:rPr>
            </w:pPr>
            <w:r>
              <w:rPr>
                <w:rFonts w:ascii="宋体" w:hAnsi="宋体" w:eastAsia="宋体" w:cs="宋体"/>
                <w:color w:val="auto"/>
                <w:kern w:val="0"/>
                <w:sz w:val="24"/>
                <w:szCs w:val="24"/>
                <w:lang w:val="en-US" w:eastAsia="zh-CN" w:bidi="ar"/>
              </w:rPr>
              <w:t>社会责任</w:t>
            </w:r>
          </w:p>
        </w:tc>
        <w:tc>
          <w:tcPr>
            <w:tcW w:w="3360" w:type="dxa"/>
            <w:tcBorders>
              <w:tl2br w:val="nil"/>
              <w:tr2bl w:val="nil"/>
            </w:tcBorders>
            <w:shd w:val="clear" w:color="auto" w:fill="auto"/>
            <w:tcMar>
              <w:top w:w="60" w:type="dxa"/>
              <w:left w:w="108" w:type="dxa"/>
              <w:bottom w:w="60" w:type="dxa"/>
              <w:right w:w="108" w:type="dxa"/>
            </w:tcMar>
            <w:vAlign w:val="center"/>
          </w:tcPr>
          <w:p w14:paraId="6897185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仿宋_GB2312" w:eastAsia="宋体" w:cs="Times New Roman"/>
                <w:color w:val="auto"/>
                <w:spacing w:val="-6"/>
                <w:kern w:val="2"/>
                <w:sz w:val="24"/>
                <w:szCs w:val="24"/>
                <w:lang w:val="en-US" w:eastAsia="zh-CN" w:bidi="ar-SA"/>
              </w:rPr>
            </w:pPr>
            <w:r>
              <w:rPr>
                <w:rFonts w:ascii="宋体" w:hAnsi="宋体" w:eastAsia="宋体" w:cs="宋体"/>
                <w:color w:val="auto"/>
                <w:kern w:val="0"/>
                <w:sz w:val="24"/>
                <w:szCs w:val="24"/>
                <w:lang w:val="en-US" w:eastAsia="zh-CN" w:bidi="ar"/>
              </w:rPr>
              <w:t>公益服务/行业帮扶活动</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191AC20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仿宋_GB2312" w:eastAsia="宋体" w:cs="Times New Roman"/>
                <w:color w:val="auto"/>
                <w:spacing w:val="-6"/>
                <w:kern w:val="2"/>
                <w:sz w:val="24"/>
                <w:szCs w:val="24"/>
                <w:lang w:val="en-US" w:eastAsia="zh-CN" w:bidi="ar-SA"/>
              </w:rPr>
            </w:pPr>
            <w:r>
              <w:rPr>
                <w:rFonts w:ascii="宋体" w:hAnsi="宋体" w:eastAsia="宋体" w:cs="宋体"/>
                <w:color w:val="auto"/>
                <w:kern w:val="0"/>
                <w:sz w:val="24"/>
                <w:szCs w:val="24"/>
                <w:lang w:val="en-US" w:eastAsia="zh-CN" w:bidi="ar"/>
              </w:rPr>
              <w:t>3分/次</w:t>
            </w:r>
          </w:p>
        </w:tc>
        <w:tc>
          <w:tcPr>
            <w:tcW w:w="1110" w:type="dxa"/>
            <w:tcBorders>
              <w:tl2br w:val="nil"/>
              <w:tr2bl w:val="nil"/>
            </w:tcBorders>
            <w:shd w:val="clear" w:color="auto" w:fill="auto"/>
            <w:tcMar>
              <w:top w:w="60" w:type="dxa"/>
              <w:left w:w="108" w:type="dxa"/>
              <w:bottom w:w="60" w:type="dxa"/>
              <w:right w:w="108" w:type="dxa"/>
            </w:tcMar>
            <w:vAlign w:val="center"/>
          </w:tcPr>
          <w:p w14:paraId="33391F2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仿宋_GB2312" w:eastAsia="宋体" w:cs="Times New Roman"/>
                <w:color w:val="auto"/>
                <w:spacing w:val="-6"/>
                <w:kern w:val="2"/>
                <w:sz w:val="24"/>
                <w:szCs w:val="24"/>
                <w:lang w:val="en-US" w:eastAsia="zh-CN" w:bidi="ar-SA"/>
              </w:rPr>
            </w:pPr>
          </w:p>
        </w:tc>
        <w:tc>
          <w:tcPr>
            <w:tcW w:w="2364" w:type="dxa"/>
            <w:tcBorders>
              <w:tl2br w:val="nil"/>
              <w:tr2bl w:val="nil"/>
            </w:tcBorders>
            <w:shd w:val="clear" w:color="auto" w:fill="auto"/>
            <w:tcMar>
              <w:top w:w="60" w:type="dxa"/>
              <w:left w:w="108" w:type="dxa"/>
              <w:bottom w:w="60" w:type="dxa"/>
              <w:right w:w="108" w:type="dxa"/>
            </w:tcMar>
            <w:vAlign w:val="center"/>
          </w:tcPr>
          <w:p w14:paraId="600556E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仿宋_GB2312" w:eastAsia="宋体" w:cs="Times New Roman"/>
                <w:color w:val="auto"/>
                <w:spacing w:val="-6"/>
                <w:kern w:val="2"/>
                <w:sz w:val="24"/>
                <w:szCs w:val="24"/>
                <w:lang w:val="en-US" w:eastAsia="zh-CN" w:bidi="ar-SA"/>
              </w:rPr>
            </w:pPr>
            <w:r>
              <w:rPr>
                <w:rFonts w:hint="eastAsia" w:ascii="宋体" w:hAnsi="宋体" w:eastAsia="宋体" w:cs="宋体"/>
                <w:color w:val="auto"/>
                <w:kern w:val="0"/>
                <w:sz w:val="24"/>
                <w:szCs w:val="24"/>
                <w:lang w:val="en-US" w:eastAsia="zh-CN" w:bidi="ar"/>
              </w:rPr>
              <w:t>需有主任或副主任单位参加；提供</w:t>
            </w:r>
            <w:r>
              <w:rPr>
                <w:rFonts w:hint="eastAsia" w:ascii="宋体" w:eastAsia="宋体"/>
                <w:color w:val="auto"/>
                <w:sz w:val="24"/>
                <w:szCs w:val="24"/>
                <w:lang w:val="en-US" w:eastAsia="zh-CN"/>
              </w:rPr>
              <w:t>活动材料</w:t>
            </w:r>
          </w:p>
        </w:tc>
      </w:tr>
      <w:tr w14:paraId="63FD0765">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805" w:type="dxa"/>
            <w:tcBorders>
              <w:tl2br w:val="nil"/>
              <w:tr2bl w:val="nil"/>
            </w:tcBorders>
            <w:shd w:val="clear" w:color="auto" w:fill="auto"/>
            <w:tcMar>
              <w:top w:w="60" w:type="dxa"/>
              <w:left w:w="108" w:type="dxa"/>
              <w:bottom w:w="60" w:type="dxa"/>
              <w:right w:w="108" w:type="dxa"/>
            </w:tcMar>
            <w:vAlign w:val="center"/>
          </w:tcPr>
          <w:p w14:paraId="1F9137F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w:t>
            </w:r>
          </w:p>
        </w:tc>
        <w:tc>
          <w:tcPr>
            <w:tcW w:w="1860" w:type="dxa"/>
            <w:tcBorders>
              <w:tl2br w:val="nil"/>
              <w:tr2bl w:val="nil"/>
            </w:tcBorders>
            <w:shd w:val="clear" w:color="auto" w:fill="auto"/>
            <w:tcMar>
              <w:top w:w="60" w:type="dxa"/>
              <w:left w:w="108" w:type="dxa"/>
              <w:bottom w:w="60" w:type="dxa"/>
              <w:right w:w="108" w:type="dxa"/>
            </w:tcMar>
            <w:vAlign w:val="center"/>
          </w:tcPr>
          <w:p w14:paraId="66CB822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常务理事会评议</w:t>
            </w:r>
          </w:p>
        </w:tc>
        <w:tc>
          <w:tcPr>
            <w:tcW w:w="3360" w:type="dxa"/>
            <w:tcBorders>
              <w:tl2br w:val="nil"/>
              <w:tr2bl w:val="nil"/>
            </w:tcBorders>
            <w:shd w:val="clear" w:color="auto" w:fill="auto"/>
            <w:tcMar>
              <w:top w:w="60" w:type="dxa"/>
              <w:left w:w="108" w:type="dxa"/>
              <w:bottom w:w="60" w:type="dxa"/>
              <w:right w:w="108" w:type="dxa"/>
            </w:tcMar>
            <w:vAlign w:val="center"/>
          </w:tcPr>
          <w:p w14:paraId="76B2870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drawing>
                <wp:inline distT="0" distB="0" distL="114300" distR="114300">
                  <wp:extent cx="142875" cy="142875"/>
                  <wp:effectExtent l="0" t="0" r="9525" b="9525"/>
                  <wp:docPr id="9" name="图片 9" descr="10787477683"/>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1059587859&quot;}"/>
                        </s:tag>
                      </a:ext>
                    </a:extLst>
                  </wp:cNvGraphicFramePr>
                  <a:graphic xmlns:a="http://schemas.openxmlformats.org/drawingml/2006/main">
                    <a:graphicData uri="http://schemas.openxmlformats.org/drawingml/2006/picture">
                      <pic:pic xmlns:pic="http://schemas.openxmlformats.org/drawingml/2006/picture">
                        <pic:nvPicPr>
                          <pic:cNvPr id="9" name="图片 9" descr="10787477683"/>
                          <pic:cNvPicPr>
                            <a:picLocks noChangeAspect="1"/>
                          </pic:cNvPicPr>
                        </pic:nvPicPr>
                        <pic:blipFill>
                          <a:blip r:embed="rId14">
                            <a:extLst>
                              <a:ext uri="{96DAC541-7B7A-43D3-8B79-37D633B846F1}">
                                <asvg:svgBlip xmlns:asvg="http://schemas.microsoft.com/office/drawing/2016/SVG/main" r:embed="rId18"/>
                              </a:ext>
                            </a:extLst>
                          </a:blip>
                          <a:stretch>
                            <a:fillRect/>
                          </a:stretch>
                        </pic:blipFill>
                        <pic:spPr>
                          <a:xfrm>
                            <a:off x="0" y="0"/>
                            <a:ext cx="142875" cy="142875"/>
                          </a:xfrm>
                          <a:prstGeom prst="rect">
                            <a:avLst/>
                          </a:prstGeom>
                        </pic:spPr>
                      </pic:pic>
                    </a:graphicData>
                  </a:graphic>
                </wp:inline>
              </w:drawing>
            </w:r>
            <w:r>
              <w:rPr>
                <w:rFonts w:hint="eastAsia" w:ascii="宋体" w:eastAsia="宋体"/>
                <w:color w:val="auto"/>
                <w:sz w:val="24"/>
                <w:szCs w:val="24"/>
                <w:lang w:val="en-US" w:eastAsia="zh-CN"/>
              </w:rPr>
              <w:t>述职报告</w:t>
            </w:r>
          </w:p>
        </w:tc>
        <w:tc>
          <w:tcPr>
            <w:tcW w:w="3285" w:type="dxa"/>
            <w:gridSpan w:val="2"/>
            <w:tcBorders>
              <w:tl2br w:val="nil"/>
              <w:tr2bl w:val="nil"/>
            </w:tcBorders>
            <w:shd w:val="clear" w:color="auto" w:fill="auto"/>
            <w:tcMar>
              <w:top w:w="60" w:type="dxa"/>
              <w:left w:w="108" w:type="dxa"/>
              <w:bottom w:w="60" w:type="dxa"/>
              <w:right w:w="108" w:type="dxa"/>
            </w:tcMar>
            <w:vAlign w:val="center"/>
          </w:tcPr>
          <w:p w14:paraId="1613801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color w:val="auto"/>
                <w:kern w:val="0"/>
                <w:sz w:val="24"/>
                <w:szCs w:val="24"/>
                <w:lang w:val="en-US" w:eastAsia="zh-CN" w:bidi="ar"/>
              </w:rPr>
            </w:pPr>
            <w:r>
              <w:rPr>
                <w:rFonts w:ascii="宋体" w:hAnsi="宋体" w:eastAsia="宋体" w:cs="宋体"/>
                <w:color w:val="auto"/>
                <w:sz w:val="24"/>
                <w:szCs w:val="24"/>
              </w:rPr>
              <w:t>全体常务理事打分的平均</w:t>
            </w:r>
            <w:r>
              <w:rPr>
                <w:rFonts w:hint="eastAsia" w:ascii="宋体" w:hAnsi="宋体" w:eastAsia="宋体" w:cs="宋体"/>
                <w:color w:val="auto"/>
                <w:sz w:val="24"/>
                <w:szCs w:val="24"/>
                <w:lang w:val="en-US" w:eastAsia="zh-CN"/>
              </w:rPr>
              <w:t>得</w:t>
            </w:r>
            <w:r>
              <w:rPr>
                <w:rFonts w:ascii="宋体" w:hAnsi="宋体" w:eastAsia="宋体" w:cs="宋体"/>
                <w:color w:val="auto"/>
                <w:sz w:val="24"/>
                <w:szCs w:val="24"/>
              </w:rPr>
              <w:t>分</w:t>
            </w:r>
          </w:p>
        </w:tc>
        <w:tc>
          <w:tcPr>
            <w:tcW w:w="1110" w:type="dxa"/>
            <w:tcBorders>
              <w:tl2br w:val="nil"/>
              <w:tr2bl w:val="nil"/>
            </w:tcBorders>
            <w:shd w:val="clear" w:color="auto" w:fill="auto"/>
            <w:tcMar>
              <w:top w:w="60" w:type="dxa"/>
              <w:left w:w="108" w:type="dxa"/>
              <w:bottom w:w="60" w:type="dxa"/>
              <w:right w:w="108" w:type="dxa"/>
            </w:tcMar>
            <w:vAlign w:val="center"/>
          </w:tcPr>
          <w:p w14:paraId="59ED74E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hAnsi="仿宋_GB2312" w:eastAsia="宋体" w:cs="Times New Roman"/>
                <w:color w:val="auto"/>
                <w:spacing w:val="-6"/>
                <w:kern w:val="2"/>
                <w:sz w:val="24"/>
                <w:szCs w:val="24"/>
                <w:lang w:val="en-US" w:eastAsia="zh-CN" w:bidi="ar-SA"/>
              </w:rPr>
            </w:pPr>
          </w:p>
        </w:tc>
        <w:tc>
          <w:tcPr>
            <w:tcW w:w="2364" w:type="dxa"/>
            <w:tcBorders>
              <w:tl2br w:val="nil"/>
              <w:tr2bl w:val="nil"/>
            </w:tcBorders>
            <w:shd w:val="clear" w:color="auto" w:fill="auto"/>
            <w:tcMar>
              <w:top w:w="60" w:type="dxa"/>
              <w:left w:w="108" w:type="dxa"/>
              <w:bottom w:w="60" w:type="dxa"/>
              <w:right w:w="108" w:type="dxa"/>
            </w:tcMar>
            <w:vAlign w:val="center"/>
          </w:tcPr>
          <w:p w14:paraId="114D703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both"/>
              <w:textAlignment w:val="top"/>
              <w:rPr>
                <w:rFonts w:hint="eastAsia" w:ascii="宋体" w:eastAsia="宋体"/>
                <w:color w:val="auto"/>
                <w:sz w:val="24"/>
                <w:szCs w:val="24"/>
                <w:lang w:val="en-US" w:eastAsia="zh-CN"/>
              </w:rPr>
            </w:pPr>
            <w:r>
              <w:rPr>
                <w:rFonts w:ascii="宋体" w:hAnsi="宋体" w:eastAsia="宋体" w:cs="宋体"/>
                <w:color w:val="auto"/>
                <w:sz w:val="24"/>
                <w:szCs w:val="24"/>
              </w:rPr>
              <w:t>每位常务理事打分分值为 10 分</w:t>
            </w:r>
          </w:p>
        </w:tc>
      </w:tr>
      <w:tr w14:paraId="3A91C06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9310" w:type="dxa"/>
            <w:gridSpan w:val="5"/>
            <w:tcBorders>
              <w:tl2br w:val="nil"/>
              <w:tr2bl w:val="nil"/>
            </w:tcBorders>
            <w:shd w:val="clear" w:color="auto" w:fill="auto"/>
            <w:tcMar>
              <w:top w:w="60" w:type="dxa"/>
              <w:left w:w="108" w:type="dxa"/>
              <w:bottom w:w="60" w:type="dxa"/>
              <w:right w:w="108" w:type="dxa"/>
            </w:tcMar>
            <w:vAlign w:val="center"/>
          </w:tcPr>
          <w:p w14:paraId="60F67C3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总  分</w:t>
            </w:r>
          </w:p>
        </w:tc>
        <w:tc>
          <w:tcPr>
            <w:tcW w:w="3474" w:type="dxa"/>
            <w:gridSpan w:val="2"/>
            <w:tcBorders>
              <w:tl2br w:val="nil"/>
              <w:tr2bl w:val="nil"/>
            </w:tcBorders>
            <w:shd w:val="clear" w:color="auto" w:fill="auto"/>
            <w:tcMar>
              <w:top w:w="60" w:type="dxa"/>
              <w:left w:w="108" w:type="dxa"/>
              <w:bottom w:w="60" w:type="dxa"/>
              <w:right w:w="108" w:type="dxa"/>
            </w:tcMar>
            <w:vAlign w:val="center"/>
          </w:tcPr>
          <w:p w14:paraId="167CE11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eastAsia" w:ascii="宋体" w:eastAsia="宋体"/>
                <w:b/>
                <w:color w:val="auto"/>
                <w:sz w:val="24"/>
                <w:szCs w:val="24"/>
                <w:lang w:val="en-US" w:eastAsia="zh-CN"/>
              </w:rPr>
            </w:pPr>
          </w:p>
        </w:tc>
      </w:tr>
      <w:tr w14:paraId="474BFEB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15" w:type="dxa"/>
            <w:left w:w="15" w:type="dxa"/>
            <w:bottom w:w="15" w:type="dxa"/>
            <w:right w:w="15" w:type="dxa"/>
          </w:tblCellMar>
        </w:tblPrEx>
        <w:trPr>
          <w:trHeight w:val="0" w:hRule="atLeast"/>
          <w:jc w:val="center"/>
        </w:trPr>
        <w:tc>
          <w:tcPr>
            <w:tcW w:w="12784" w:type="dxa"/>
            <w:gridSpan w:val="7"/>
            <w:tcBorders>
              <w:tl2br w:val="nil"/>
              <w:tr2bl w:val="nil"/>
            </w:tcBorders>
            <w:shd w:val="clear" w:color="auto" w:fill="auto"/>
            <w:tcMar>
              <w:top w:w="60" w:type="dxa"/>
              <w:left w:w="108" w:type="dxa"/>
              <w:bottom w:w="60" w:type="dxa"/>
              <w:right w:w="108" w:type="dxa"/>
            </w:tcMar>
            <w:vAlign w:val="center"/>
          </w:tcPr>
          <w:p w14:paraId="3C50E64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both"/>
              <w:textAlignment w:val="top"/>
              <w:rPr>
                <w:rFonts w:hint="default"/>
                <w:color w:val="auto"/>
                <w:sz w:val="24"/>
                <w:szCs w:val="24"/>
                <w:lang w:val="en-US"/>
              </w:rPr>
            </w:pPr>
            <w:r>
              <w:rPr>
                <w:rFonts w:hint="eastAsia" w:ascii="黑体" w:hAnsi="黑体" w:eastAsia="黑体" w:cs="黑体"/>
                <w:b/>
                <w:bCs/>
                <w:color w:val="auto"/>
                <w:kern w:val="0"/>
                <w:sz w:val="24"/>
                <w:szCs w:val="24"/>
                <w:lang w:val="en-US" w:eastAsia="zh-CN" w:bidi="ar"/>
              </w:rPr>
              <w:t>说明：1. 材料弄虚作假取消全部加分；2. 同一工作内容不重复加分，按最高分值项核算；3.带</w:t>
            </w:r>
            <w:r>
              <w:rPr>
                <w:rFonts w:hint="eastAsia" w:ascii="黑体" w:hAnsi="黑体" w:eastAsia="黑体" w:cs="黑体"/>
                <w:b/>
                <w:bCs/>
                <w:color w:val="auto"/>
                <w:kern w:val="0"/>
                <w:sz w:val="24"/>
                <w:szCs w:val="24"/>
                <w:lang w:val="en-US" w:eastAsia="zh-CN" w:bidi="ar"/>
              </w:rPr>
              <w:drawing>
                <wp:inline distT="0" distB="0" distL="114300" distR="114300">
                  <wp:extent cx="142875" cy="142875"/>
                  <wp:effectExtent l="0" t="0" r="9525" b="9525"/>
                  <wp:docPr id="10" name="图片 10" descr="10787477683"/>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1059587859&quot;}"/>
                        </s:tag>
                      </a:ext>
                    </a:extLst>
                  </wp:cNvGraphicFramePr>
                  <a:graphic xmlns:a="http://schemas.openxmlformats.org/drawingml/2006/main">
                    <a:graphicData uri="http://schemas.openxmlformats.org/drawingml/2006/picture">
                      <pic:pic xmlns:pic="http://schemas.openxmlformats.org/drawingml/2006/picture">
                        <pic:nvPicPr>
                          <pic:cNvPr id="10" name="图片 10" descr="10787477683"/>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142875" cy="142875"/>
                          </a:xfrm>
                          <a:prstGeom prst="rect">
                            <a:avLst/>
                          </a:prstGeom>
                        </pic:spPr>
                      </pic:pic>
                    </a:graphicData>
                  </a:graphic>
                </wp:inline>
              </w:drawing>
            </w:r>
            <w:r>
              <w:rPr>
                <w:rFonts w:hint="eastAsia" w:ascii="黑体" w:hAnsi="黑体" w:eastAsia="黑体" w:cs="黑体"/>
                <w:b/>
                <w:bCs/>
                <w:color w:val="auto"/>
                <w:kern w:val="0"/>
                <w:sz w:val="24"/>
                <w:szCs w:val="24"/>
                <w:lang w:val="en-US" w:eastAsia="zh-CN" w:bidi="ar"/>
              </w:rPr>
              <w:t>的为必须完成项。</w:t>
            </w:r>
          </w:p>
        </w:tc>
      </w:tr>
    </w:tbl>
    <w:p w14:paraId="25851C30">
      <w:pPr>
        <w:pStyle w:val="12"/>
        <w:bidi w:val="0"/>
      </w:pPr>
    </w:p>
    <w:sectPr>
      <w:headerReference r:id="rId9" w:type="default"/>
      <w:footerReference r:id="rId11" w:type="default"/>
      <w:headerReference r:id="rId10" w:type="even"/>
      <w:footerReference r:id="rId12" w:type="even"/>
      <w:pgSz w:w="16838" w:h="11906" w:orient="landscape"/>
      <w:pgMar w:top="1803" w:right="1440" w:bottom="1803" w:left="1440" w:header="851" w:footer="1417" w:gutter="0"/>
      <w:pgNumType w:fmt="decimal"/>
      <w:cols w:space="0" w:num="1"/>
      <w:rtlGutter w:val="0"/>
      <w:docGrid w:type="linesAndChars" w:linePitch="592"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245DD3-694E-4534-B161-8F698AC125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682F0DEC-23F4-41D8-BC76-6C5CEE8E14C8}"/>
  </w:font>
  <w:font w:name="仿宋_GB2312">
    <w:altName w:val="仿宋"/>
    <w:panose1 w:val="00000000000000000000"/>
    <w:charset w:val="00"/>
    <w:family w:val="auto"/>
    <w:pitch w:val="default"/>
    <w:sig w:usb0="00000000" w:usb1="00000000" w:usb2="00000000" w:usb3="00000000" w:csb0="00000000" w:csb1="00000000"/>
    <w:embedRegular r:id="rId3" w:fontKey="{125A439E-31BA-4656-AC67-B0A841CD97B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4" w:fontKey="{FC6AF68B-7C04-40D0-B450-F16F381D5E74}"/>
  </w:font>
  <w:font w:name="微软雅黑">
    <w:panose1 w:val="020B0503020204020204"/>
    <w:charset w:val="86"/>
    <w:family w:val="auto"/>
    <w:pitch w:val="default"/>
    <w:sig w:usb0="80000287" w:usb1="280F3C52" w:usb2="00000016" w:usb3="00000000" w:csb0="0004001F" w:csb1="00000000"/>
    <w:embedRegular r:id="rId5" w:fontKey="{E5359678-2A9F-4DF9-8D7F-1CA192BD32F4}"/>
  </w:font>
  <w:font w:name="方正公文小标宋">
    <w:panose1 w:val="02000500000000000000"/>
    <w:charset w:val="86"/>
    <w:family w:val="auto"/>
    <w:pitch w:val="default"/>
    <w:sig w:usb0="A00002BF" w:usb1="38CF7CFA" w:usb2="00000016" w:usb3="00000000" w:csb0="00040001" w:csb1="00000000"/>
    <w:embedRegular r:id="rId6" w:fontKey="{44E827B5-AEA9-4A8E-8D48-27BF4C4E90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0A178">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8D025">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078D025">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F2F7">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82287">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A282287">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676F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D6A70">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0D6A70">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4F241">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231EF">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231EF">
                    <w:pPr>
                      <w:pStyle w:val="13"/>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418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1889">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B6B5">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3E64">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58"/>
  <w:drawingGridVerticalSpacing w:val="296"/>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27A4F"/>
    <w:rsid w:val="03157416"/>
    <w:rsid w:val="18023FB5"/>
    <w:rsid w:val="1A0D2C56"/>
    <w:rsid w:val="1E8474D2"/>
    <w:rsid w:val="2CBE62A5"/>
    <w:rsid w:val="339D00AD"/>
    <w:rsid w:val="3C4165AB"/>
    <w:rsid w:val="3CE120F1"/>
    <w:rsid w:val="40171C89"/>
    <w:rsid w:val="427640F8"/>
    <w:rsid w:val="42BD701F"/>
    <w:rsid w:val="4A993315"/>
    <w:rsid w:val="6618760C"/>
    <w:rsid w:val="69D27A4F"/>
    <w:rsid w:val="71681909"/>
    <w:rsid w:val="75930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20">
    <w:name w:val="主送对象"/>
    <w:next w:val="1"/>
    <w:qFormat/>
    <w:uiPriority w:val="0"/>
    <w:pPr>
      <w:spacing w:line="560" w:lineRule="exact"/>
    </w:pPr>
    <w:rPr>
      <w:rFonts w:ascii="Times New Roman" w:hAnsi="Times New Roman" w:eastAsia="仿宋_GB2312" w:cs="仿宋_GB2312"/>
      <w:sz w:val="32"/>
      <w:szCs w:val="32"/>
    </w:rPr>
  </w:style>
  <w:style w:type="paragraph" w:customStyle="1" w:styleId="21">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svg"/><Relationship Id="rId17" Type="http://schemas.openxmlformats.org/officeDocument/2006/relationships/image" Target="media/image4.svg"/><Relationship Id="rId16" Type="http://schemas.openxmlformats.org/officeDocument/2006/relationships/image" Target="media/image3.svg"/><Relationship Id="rId15" Type="http://schemas.openxmlformats.org/officeDocument/2006/relationships/image" Target="media/image2.sv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459</Words>
  <Characters>471</Characters>
  <Lines>0</Lines>
  <Paragraphs>0</Paragraphs>
  <TotalTime>43</TotalTime>
  <ScaleCrop>false</ScaleCrop>
  <LinksUpToDate>false</LinksUpToDate>
  <CharactersWithSpaces>499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2026-03-25T03:39:00Z</dcterms:created>
  <dc:creator>shL</dc:creator>
  <cp:lastModifiedBy>胡文娟</cp:lastModifiedBy>
  <dcterms:modified xsi:type="dcterms:W3CDTF">2026-03-25T08:07:21Z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BE92343A7D1D41E7B42A65283690FFCA_13</vt:lpwstr>
  </property>
  <property fmtid="{D5CDD505-2E9C-101B-9397-08002B2CF9AE}" pid="4" name="KSOTemplateDocerSaveRecord">
    <vt:lpwstr>eyJoZGlkIjoiZDUyOWMwNWExMDI1OTZlM2E2NDVmZDQyMDdhNjIwZDQiLCJ1c2VySWQiOiI0NDcyNDA2MDkifQ==</vt:lpwstr>
  </property>
  <property fmtid="{D5CDD505-2E9C-101B-9397-08002B2CF9AE}" pid="5" name="标题_1">
    <vt:lpwstr>关于印发《河南省建设工程质量监督检测行业协会分支机构（代表机构）考核办法》的通知</vt:lpwstr>
  </property>
  <property fmtid="{D5CDD505-2E9C-101B-9397-08002B2CF9AE}" pid="6" name="附件说明_1">
    <vt:lpwstr>附件：河南省建设工程质量监督检测行业协会分支机构（代表机构）考核办法</vt:lpwstr>
  </property>
  <property fmtid="{D5CDD505-2E9C-101B-9397-08002B2CF9AE}" pid="7" name="主送机关">
    <vt:lpwstr>各分支机构（代表机构）</vt:lpwstr>
  </property>
</Properties>
</file>