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nts/font7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9F8BA">
      <w:pPr>
        <w:spacing w:line="1180" w:lineRule="exact"/>
        <w:jc w:val="center"/>
        <w:rPr>
          <w:rFonts w:ascii="方正大标宋简体" w:eastAsia="方正大标宋简体"/>
          <w:color w:val="FF0000"/>
          <w:sz w:val="114"/>
          <w:szCs w:val="114"/>
        </w:rPr>
      </w:pPr>
    </w:p>
    <w:p w14:paraId="115FB02F">
      <w:pPr>
        <w:spacing w:line="1440" w:lineRule="exact"/>
        <w:jc w:val="distribute"/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bidi="ar"/>
        </w:rPr>
        <w:t>河南省建设工程质量监督检测行业协会</w:t>
      </w:r>
      <w:r>
        <w:rPr>
          <w:rFonts w:hint="eastAsia" w:ascii="方正大标宋简体" w:hAnsi="方正大标宋简体" w:eastAsia="方正大标宋简体" w:cs="方正大标宋简体"/>
          <w:color w:val="FF0000"/>
          <w:spacing w:val="-34"/>
          <w:w w:val="42"/>
          <w:sz w:val="112"/>
          <w:szCs w:val="112"/>
          <w:lang w:eastAsia="zh-CN" w:bidi="ar"/>
        </w:rPr>
        <w:t>文件</w:t>
      </w:r>
    </w:p>
    <w:p w14:paraId="37E3005B">
      <w:pPr>
        <w:spacing w:line="440" w:lineRule="exact"/>
        <w:jc w:val="center"/>
        <w:rPr>
          <w:rFonts w:hint="eastAsia" w:ascii="仿宋" w:hAnsi="仿宋" w:eastAsia="仿宋" w:cs="仿宋"/>
          <w:sz w:val="30"/>
          <w:szCs w:val="30"/>
        </w:rPr>
      </w:pPr>
    </w:p>
    <w:p w14:paraId="6F2FCB8A"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豫建</w:t>
      </w:r>
      <w:r>
        <w:rPr>
          <w:rFonts w:hint="eastAsia" w:ascii="仿宋_GB2312" w:hAnsi="仿宋_GB2312" w:eastAsia="仿宋_GB2312" w:cs="仿宋_GB2312"/>
          <w:color w:val="000000"/>
          <w:kern w:val="21"/>
          <w:sz w:val="32"/>
          <w:szCs w:val="32"/>
          <w:lang w:bidi="ar"/>
        </w:rPr>
        <w:t>检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协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〔202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5</w:t>
      </w:r>
      <w:r>
        <w:rPr>
          <w:rFonts w:hint="eastAsia" w:ascii="仿宋_GB2312" w:hAnsi="宋体" w:eastAsia="仿宋_GB2312" w:cs="宋体"/>
          <w:sz w:val="32"/>
          <w:szCs w:val="32"/>
          <w:lang w:bidi="ar"/>
        </w:rPr>
        <w:t>〕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 w:bidi="ar"/>
        </w:rPr>
        <w:t>42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号</w:t>
      </w:r>
    </w:p>
    <w:p w14:paraId="69E0ABA7">
      <w:pPr>
        <w:jc w:val="center"/>
      </w:pPr>
    </w:p>
    <w:p w14:paraId="119C68C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7"/>
          <w:sz w:val="20"/>
          <w:szCs w:val="20"/>
        </w:rPr>
      </w:pPr>
      <w:r>
        <w:rPr>
          <w:rFonts w:eastAsia="微软雅黑"/>
          <w:lang w:bidi="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29210</wp:posOffset>
                </wp:positionV>
                <wp:extent cx="5615940" cy="190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15940" cy="1905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8.2pt;margin-top:2.3pt;height:0.15pt;width:442.2pt;z-index:251660288;mso-width-relative:page;mso-height-relative:page;" filled="f" stroked="t" coordsize="21600,21600" o:gfxdata="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brNlltYAAAAHAQAADwAAAAAAAAABACAAAAAiAAAAZHJzL2Rvd25yZXYueG1s&#10;UEsBAhQAFAAAAAgAh07iQCk/v3z6AQAA9gMAAA4AAAAAAAAAAQAgAAAAJQEAAGRycy9lMm9Eb2Mu&#10;eG1sUEsFBgAAAAAGAAYAWQEAAJEFAAAAAA=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 w14:paraId="7C5701A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4"/>
          <w:szCs w:val="44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</w:rPr>
        <w:t>关于向会员单位免费提供检测信息化软件及相关服务的通知</w:t>
      </w:r>
    </w:p>
    <w:p w14:paraId="3176C6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A8A50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各会员单位：</w:t>
      </w:r>
    </w:p>
    <w:p w14:paraId="2FC713E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为进一步提升我省建设工程质量检测工作的信息化、规范化水平，降低会员单位运营成本，河南省建设工程质量监督检测行业协会（以下简称协会）与三个软件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及运维服务企业（以下简称软件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企业）经协商达成合作协议，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取得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检验检测信息化软件标准版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的长期免费使用权并委托其负责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运维服务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协会将无偿提供给会员单位使用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现将有关事宜通知如下：</w:t>
      </w:r>
    </w:p>
    <w:p w14:paraId="75F77E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一、背景与目的</w:t>
      </w:r>
    </w:p>
    <w:p w14:paraId="0EFAE4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住房和城乡建设部《建设工程质量检测管理办法》（住建部57号令）明确要求，检测机构应当建立健全信息化管理系统，实现检测数据可追溯、检测过程可监管，确保检测活动规范有序开展。</w:t>
      </w:r>
    </w:p>
    <w:p w14:paraId="5FCDFF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协会本着规范行业秩序、助力会员成长的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目标</w:t>
      </w:r>
      <w:r>
        <w:rPr>
          <w:rFonts w:hint="eastAsia" w:ascii="仿宋" w:hAnsi="仿宋" w:eastAsia="仿宋" w:cs="仿宋"/>
          <w:sz w:val="32"/>
          <w:szCs w:val="32"/>
        </w:rPr>
        <w:t>，通过引入专业检验检测信息化软件及配套运维服务，助力会员单位满足住建部57号令的信息化管理要求，优化工作流程、提升管理效率，共同推动我省检测行业的标准化、规范化发展。</w:t>
      </w:r>
    </w:p>
    <w:p w14:paraId="5A0BF0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二、软件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与</w:t>
      </w:r>
      <w:r>
        <w:rPr>
          <w:rFonts w:hint="eastAsia" w:ascii="黑体" w:hAnsi="黑体" w:eastAsia="黑体" w:cs="黑体"/>
          <w:sz w:val="32"/>
          <w:szCs w:val="32"/>
        </w:rPr>
        <w:t>服务内容</w:t>
      </w:r>
    </w:p>
    <w:p w14:paraId="0B6DB9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1.协会将检验检测信息化软件标准版（功能详见附件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</w:rPr>
        <w:t>）提供会员单位免费使用。该软件可满足检测工作的基础信息化需求，覆盖日常业务管理、数据记录等核心功能。</w:t>
      </w:r>
    </w:p>
    <w:p w14:paraId="665767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为会员单位免费提供软件安装部署服务，会员单位仅需承担其技术人员进驻现场的交通、食宿等差旅费。硬件设备或云存储配置由会员单位自行承担，其中云存储产品可由会员单位自行解决，或通过协会集中采购。</w:t>
      </w:r>
    </w:p>
    <w:p w14:paraId="04BE41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企业负责为会员单位免费提供与协会行业管理平台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的</w:t>
      </w:r>
      <w:r>
        <w:rPr>
          <w:rFonts w:hint="eastAsia" w:ascii="仿宋" w:hAnsi="仿宋" w:eastAsia="仿宋" w:cs="仿宋"/>
          <w:sz w:val="32"/>
          <w:szCs w:val="32"/>
        </w:rPr>
        <w:t>对接。</w:t>
      </w:r>
    </w:p>
    <w:p w14:paraId="7A9780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企业为会员单位提供系统运维服务，包括日常维护、故障修复、性能优化等。会员单位需与软件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企业单独签订《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检验检测信息化软件</w:t>
      </w:r>
      <w:r>
        <w:rPr>
          <w:rFonts w:hint="eastAsia" w:ascii="仿宋" w:hAnsi="仿宋" w:eastAsia="仿宋" w:cs="仿宋"/>
          <w:sz w:val="32"/>
          <w:szCs w:val="32"/>
        </w:rPr>
        <w:t>运维服务合同》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参考附件二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，按年度支付运维服务费，标准版运维服务费标准：单项资质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为</w:t>
      </w:r>
      <w:r>
        <w:rPr>
          <w:rFonts w:hint="eastAsia" w:ascii="仿宋" w:hAnsi="仿宋" w:eastAsia="仿宋" w:cs="仿宋"/>
          <w:sz w:val="32"/>
          <w:szCs w:val="32"/>
        </w:rPr>
        <w:t>人民币2000元/年；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多</w:t>
      </w:r>
      <w:r>
        <w:rPr>
          <w:rFonts w:hint="eastAsia" w:ascii="仿宋" w:hAnsi="仿宋" w:eastAsia="仿宋" w:cs="仿宋"/>
          <w:sz w:val="32"/>
          <w:szCs w:val="32"/>
        </w:rPr>
        <w:t>项专项资质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及</w:t>
      </w:r>
      <w:r>
        <w:rPr>
          <w:rFonts w:hint="eastAsia" w:ascii="仿宋" w:hAnsi="仿宋" w:eastAsia="仿宋" w:cs="仿宋"/>
          <w:sz w:val="32"/>
          <w:szCs w:val="32"/>
        </w:rPr>
        <w:t>综合资质不超过人民币6000元/年。</w:t>
      </w:r>
    </w:p>
    <w:p w14:paraId="6845C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三、其它事项</w:t>
      </w:r>
    </w:p>
    <w:p w14:paraId="32E6DF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1.各会员单位根据自愿原则，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可</w:t>
      </w:r>
      <w:r>
        <w:rPr>
          <w:rFonts w:hint="eastAsia" w:ascii="仿宋" w:hAnsi="仿宋" w:eastAsia="仿宋" w:cs="仿宋"/>
          <w:sz w:val="32"/>
          <w:szCs w:val="32"/>
        </w:rPr>
        <w:t>在三个软件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企业中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任</w:t>
      </w:r>
      <w:r>
        <w:rPr>
          <w:rFonts w:hint="eastAsia" w:ascii="仿宋" w:hAnsi="仿宋" w:eastAsia="仿宋" w:cs="仿宋"/>
          <w:sz w:val="32"/>
          <w:szCs w:val="32"/>
        </w:rPr>
        <w:t>选一个并与其签订《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检验检测信息化软件</w:t>
      </w:r>
      <w:r>
        <w:rPr>
          <w:rFonts w:hint="eastAsia" w:ascii="仿宋" w:hAnsi="仿宋" w:eastAsia="仿宋" w:cs="仿宋"/>
          <w:sz w:val="32"/>
          <w:szCs w:val="32"/>
        </w:rPr>
        <w:t>运维服务合同》，合同签订后5个工作日内需将合同副本向协会秘书处报备。</w:t>
      </w:r>
    </w:p>
    <w:p w14:paraId="3C6C5A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2.会员单位如需标准版以外的定制化功能，可与软件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企业另行协商并签订补充协议。</w:t>
      </w:r>
    </w:p>
    <w:p w14:paraId="4335E5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3、</w:t>
      </w:r>
      <w:r>
        <w:rPr>
          <w:rFonts w:hint="eastAsia" w:ascii="仿宋" w:hAnsi="仿宋" w:eastAsia="仿宋" w:cs="仿宋"/>
          <w:sz w:val="32"/>
          <w:szCs w:val="32"/>
        </w:rPr>
        <w:t>涉及标准版的系统架构调整或重大功能升级，经协会批准且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会员单位同意</w:t>
      </w:r>
      <w:r>
        <w:rPr>
          <w:rFonts w:hint="eastAsia" w:ascii="仿宋" w:hAnsi="仿宋" w:eastAsia="仿宋" w:cs="仿宋"/>
          <w:sz w:val="32"/>
          <w:szCs w:val="32"/>
        </w:rPr>
        <w:t>后方可执行。</w:t>
      </w:r>
    </w:p>
    <w:p w14:paraId="0F9285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.软件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企业承诺保障软件数据安全，不泄露会员单位信息，不强制指定硬件设备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、采集设备、芯片等</w:t>
      </w:r>
      <w:r>
        <w:rPr>
          <w:rFonts w:hint="eastAsia" w:ascii="仿宋" w:hAnsi="仿宋" w:eastAsia="仿宋" w:cs="仿宋"/>
          <w:sz w:val="32"/>
          <w:szCs w:val="32"/>
        </w:rPr>
        <w:t>供应商。</w:t>
      </w:r>
    </w:p>
    <w:p w14:paraId="7BD3E5B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.协会将全程监督软件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企业的软件质量及服务水平。会员单位如发现问题可向协会反馈，协会将协调处理。</w:t>
      </w:r>
    </w:p>
    <w:p w14:paraId="73B5AD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6.附件一的内容由软件研发</w:t>
      </w:r>
      <w:r>
        <w:rPr>
          <w:rFonts w:hint="eastAsia" w:ascii="仿宋" w:hAnsi="仿宋" w:eastAsia="仿宋" w:cs="仿宋"/>
          <w:sz w:val="32"/>
          <w:szCs w:val="32"/>
        </w:rPr>
        <w:t>企业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提供，其真实性由该企业负责。</w:t>
      </w:r>
    </w:p>
    <w:p w14:paraId="36B2BF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四、联系方式</w:t>
      </w:r>
    </w:p>
    <w:p w14:paraId="2E6F12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1.协会秘书处：王梦琪，电话：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0371-63863837/</w:t>
      </w:r>
      <w:r>
        <w:rPr>
          <w:rFonts w:hint="eastAsia" w:ascii="仿宋" w:hAnsi="仿宋" w:eastAsia="仿宋" w:cs="仿宋"/>
          <w:sz w:val="32"/>
          <w:szCs w:val="32"/>
        </w:rPr>
        <w:t>18738170338。</w:t>
      </w:r>
    </w:p>
    <w:p w14:paraId="54EF69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河南中恺数字科技有限公司：陈滨，电话：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18937199795。</w:t>
      </w:r>
    </w:p>
    <w:p w14:paraId="1785DB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广州粤建三和软件股份有限公司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</w:rPr>
        <w:t>王峰峰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电话：13603553049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298D14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湖南建研信息技术股份有限公司：倪光荣，电话：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18973174949。</w:t>
      </w:r>
    </w:p>
    <w:p w14:paraId="402FF5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636989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：软件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企业简介及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sz w:val="32"/>
          <w:szCs w:val="32"/>
        </w:rPr>
        <w:t>标准版功能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说明</w:t>
      </w:r>
    </w:p>
    <w:p w14:paraId="4D280E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附件二：检验检测信息化软件</w:t>
      </w:r>
      <w:r>
        <w:rPr>
          <w:rFonts w:hint="eastAsia" w:ascii="仿宋" w:hAnsi="仿宋" w:eastAsia="仿宋" w:cs="仿宋"/>
          <w:sz w:val="32"/>
          <w:szCs w:val="32"/>
        </w:rPr>
        <w:t>运维服务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合同（参考模板）</w:t>
      </w:r>
    </w:p>
    <w:p w14:paraId="462C7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</w:p>
    <w:p w14:paraId="3E55D0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E068E5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2025年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28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287E99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9650281">
      <w:pPr>
        <w:rPr>
          <w:rFonts w:hint="eastAsia" w:ascii="仿宋" w:hAnsi="仿宋" w:eastAsia="仿宋" w:cs="仿宋"/>
          <w:sz w:val="36"/>
          <w:szCs w:val="36"/>
        </w:rPr>
      </w:pPr>
    </w:p>
    <w:p w14:paraId="09206FC8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一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：软件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研发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企业简介及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软件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标准版功能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说明</w:t>
      </w:r>
    </w:p>
    <w:p w14:paraId="65057245">
      <w:pPr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  <w:lang w:val="en-US" w:eastAsia="zh-CN"/>
        </w:rPr>
      </w:pPr>
    </w:p>
    <w:p w14:paraId="4E449D92">
      <w:pPr>
        <w:jc w:val="center"/>
        <w:rPr>
          <w:rFonts w:hint="eastAsia" w:ascii="仿宋" w:hAnsi="仿宋" w:eastAsia="仿宋" w:cs="仿宋"/>
          <w:b/>
          <w:bCs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eastAsia="zh-CN"/>
        </w:rPr>
        <w:t>河南中恺数字科技有限公司简介</w:t>
      </w:r>
    </w:p>
    <w:p w14:paraId="7D1437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河南中恺数字科技有限公司是河南省基本建设科学实验有限公司100%控股的科技研发型企业，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是国家高新技术企业，</w:t>
      </w:r>
      <w:r>
        <w:rPr>
          <w:rFonts w:hint="eastAsia" w:ascii="仿宋" w:hAnsi="仿宋" w:eastAsia="仿宋" w:cs="仿宋"/>
          <w:sz w:val="32"/>
          <w:szCs w:val="32"/>
        </w:rPr>
        <w:t>成立于2019年12月。公司一直专注于智慧城市、智慧管理、智慧检测监测、大数据采集与应用、产业链平台等方向的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与推广，为建设行业及检验检测行业提供信息化、智能化和数字化等全方位技术服务和解决方案。中恺数字创建以来，始终坚持以“推进中国智慧城市转型升级，促进国家住建行业高质量发展”为己任，以“诚信经营、优质服务”为宗旨，取得软件著作权30多项，专利和科技成果10余项。获得郑州市科技型企业、国家科技型中小企业认定、河南省软件协会“双软”认证，并取得了显著的社会和经济效益。</w:t>
      </w:r>
    </w:p>
    <w:p w14:paraId="1C7B1A7A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标准版功能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说明</w:t>
      </w:r>
    </w:p>
    <w:tbl>
      <w:tblPr>
        <w:tblStyle w:val="7"/>
        <w:tblW w:w="892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5"/>
        <w:gridCol w:w="2445"/>
        <w:gridCol w:w="4045"/>
      </w:tblGrid>
      <w:tr w14:paraId="60CCBD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0107A4E8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59A37A69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5E48FA2D">
            <w:pPr>
              <w:widowControl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功能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3FBAAD49">
            <w:pPr>
              <w:widowControl/>
              <w:ind w:left="638" w:leftChars="304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 w14:paraId="07717D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C238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A7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工程管理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E3B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921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提供工程项目信息的增删改查功能，支持从上级平台下载与导入功能</w:t>
            </w:r>
          </w:p>
        </w:tc>
      </w:tr>
      <w:tr w14:paraId="1040DC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903C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8AA68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3D6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查询统计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D57F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988F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12E8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E8444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BD0C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下载/导入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A6DA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DAABD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CEBB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6510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0709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修改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DCFC2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63CE3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DDB7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6D6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6684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合同登记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F95C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提供合同的登记，增删改查功能</w:t>
            </w:r>
          </w:p>
        </w:tc>
      </w:tr>
      <w:tr w14:paraId="62F0BC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1906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BC56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C61D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0C358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2B51A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CBB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9A84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D065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D372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提供检测委托的登记、修改、查询、作废、统计等功能。支持委托台账的导出、打印。</w:t>
            </w:r>
          </w:p>
        </w:tc>
      </w:tr>
      <w:tr w14:paraId="4DA2DB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4BC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6C5D5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51B9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委托修改/作废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9E095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8B3F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63D9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7DAA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67B0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6CAA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F25FA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650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6C3D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23B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委托统计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12C20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B6B7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FE63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672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样品管理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F8B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留样管理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8A64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检测样品收样、留样、退样、销毁的管理，增删改查功能。</w:t>
            </w:r>
          </w:p>
        </w:tc>
      </w:tr>
      <w:tr w14:paraId="12B6942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189A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2D49B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778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退样管理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C4BFC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E10D6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74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1E66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1342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3212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提供试验原始数据的录入、系统自动运算生成完整的试验记录，自动关联报告模板生成报告。支持数据自动采集，提供试验记录的打印，以及查询统计分析功能。</w:t>
            </w:r>
          </w:p>
        </w:tc>
      </w:tr>
      <w:tr w14:paraId="6383EB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8E8E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6C3C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E6D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14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B716AE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0A21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5C0A5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FB6A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原始记录打印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C9267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926C3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B9DC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9D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984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报告审核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E58E9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提供报告的审核，批准，打印、归档、发放。生成报告归档文件与发放清单，支持报告查询统计分析、支持电子签章、支持导出PDF报告电子版归档、支持不合格报告的查询统计导出打印。</w:t>
            </w:r>
          </w:p>
        </w:tc>
      </w:tr>
      <w:tr w14:paraId="57FFF3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113A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14407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D8A1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报告批准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9B37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4612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5A79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0F930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76C6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报告打印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323CD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EE52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0DF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BA70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6BF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报告归档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F046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51476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3E5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2055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3CCB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报告发放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BCB2F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CA5D6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69FA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57EE7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9251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不合格台账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7B6D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C96C3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F658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9EDD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0CC9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F52E1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F553A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17CE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0C96F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质量管理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ADC7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设备台账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right w:val="single" w:color="000000" w:sz="4" w:space="0"/>
            </w:tcBorders>
            <w:vAlign w:val="center"/>
          </w:tcPr>
          <w:p w14:paraId="713149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提供设备基本信息管理，设备的维修、保养、校准状态管理，提供增删改查功能。</w:t>
            </w:r>
          </w:p>
        </w:tc>
      </w:tr>
      <w:tr w14:paraId="13F8484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45BE8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8BCB0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5BDF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设备维护</w:t>
            </w:r>
          </w:p>
        </w:tc>
        <w:tc>
          <w:tcPr>
            <w:tcW w:w="40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7E216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54CBE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2BE2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6617C1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3D41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人员台账</w:t>
            </w:r>
          </w:p>
        </w:tc>
        <w:tc>
          <w:tcPr>
            <w:tcW w:w="4045" w:type="dxa"/>
            <w:vMerge w:val="restart"/>
            <w:tcBorders>
              <w:left w:val="nil"/>
              <w:right w:val="single" w:color="000000" w:sz="4" w:space="0"/>
            </w:tcBorders>
            <w:vAlign w:val="center"/>
          </w:tcPr>
          <w:p w14:paraId="36FF29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提供人员基本信息、资质授权信息管理，提供增删改查功能。</w:t>
            </w:r>
          </w:p>
        </w:tc>
      </w:tr>
      <w:tr w14:paraId="5B8E4B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6BD8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BF4E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7DD6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人员资质授权管理</w:t>
            </w:r>
          </w:p>
        </w:tc>
        <w:tc>
          <w:tcPr>
            <w:tcW w:w="40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69D7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7EE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31BD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C431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权限管理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29C8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企业管理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0EA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系统权限设置、用户账号管理基本功能</w:t>
            </w:r>
          </w:p>
        </w:tc>
      </w:tr>
      <w:tr w14:paraId="153C9F7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C3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27F5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62E6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部门管理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D6F91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DF260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3950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0865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1FB6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用户管理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3D347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2D52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B959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C59E5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D82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角色管理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532C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4CEBD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8292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4616D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6B91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菜单管理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7C5D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C5E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CC3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32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3BD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系统设置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AB11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资质分类</w:t>
            </w:r>
          </w:p>
        </w:tc>
        <w:tc>
          <w:tcPr>
            <w:tcW w:w="4045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noWrap/>
            <w:vAlign w:val="center"/>
          </w:tcPr>
          <w:p w14:paraId="70C0A7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检测资质，检测项目，检测参数以及标准价格，委托试验页面的设置；报告模板的设置；</w:t>
            </w:r>
          </w:p>
        </w:tc>
      </w:tr>
      <w:tr w14:paraId="79866F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35B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33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E14E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D75C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检测分类</w:t>
            </w:r>
          </w:p>
        </w:tc>
        <w:tc>
          <w:tcPr>
            <w:tcW w:w="4045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231BC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</w:tr>
      <w:tr w14:paraId="27B9C7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B3B6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E8A2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E996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检测项目</w:t>
            </w:r>
          </w:p>
        </w:tc>
        <w:tc>
          <w:tcPr>
            <w:tcW w:w="4045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264041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</w:tr>
      <w:tr w14:paraId="58A9B9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7D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35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 w14:paraId="738DE65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FE9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报告模板管理</w:t>
            </w:r>
          </w:p>
        </w:tc>
        <w:tc>
          <w:tcPr>
            <w:tcW w:w="4045" w:type="dxa"/>
            <w:vMerge w:val="continue"/>
            <w:tcBorders>
              <w:left w:val="nil"/>
              <w:right w:val="single" w:color="000000" w:sz="4" w:space="0"/>
            </w:tcBorders>
            <w:noWrap/>
            <w:vAlign w:val="center"/>
          </w:tcPr>
          <w:p w14:paraId="121071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  <w:highlight w:val="yellow"/>
              </w:rPr>
            </w:pPr>
          </w:p>
        </w:tc>
      </w:tr>
      <w:tr w14:paraId="0EE68E0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5E9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36</w:t>
            </w:r>
          </w:p>
        </w:tc>
        <w:tc>
          <w:tcPr>
            <w:tcW w:w="175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FBA86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BF1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原数据管理</w:t>
            </w:r>
          </w:p>
        </w:tc>
        <w:tc>
          <w:tcPr>
            <w:tcW w:w="404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6BA6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</w:tbl>
    <w:p w14:paraId="47A8347A">
      <w:pPr>
        <w:ind w:firstLine="972" w:firstLineChars="270"/>
        <w:rPr>
          <w:rFonts w:hint="eastAsia" w:ascii="仿宋" w:hAnsi="仿宋" w:eastAsia="仿宋" w:cs="仿宋"/>
          <w:sz w:val="36"/>
          <w:szCs w:val="36"/>
        </w:rPr>
      </w:pPr>
    </w:p>
    <w:p w14:paraId="22CB9C58">
      <w:pPr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</w:pPr>
    </w:p>
    <w:p w14:paraId="4274E1CC">
      <w:pPr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</w:pPr>
    </w:p>
    <w:p w14:paraId="2756CBE9">
      <w:pPr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</w:pPr>
    </w:p>
    <w:p w14:paraId="10BCF2F8">
      <w:pPr>
        <w:jc w:val="center"/>
        <w:rPr>
          <w:rFonts w:hint="eastAsia" w:ascii="仿宋" w:hAnsi="仿宋" w:eastAsia="仿宋" w:cs="仿宋"/>
          <w:b/>
          <w:bCs/>
          <w:kern w:val="28"/>
          <w:sz w:val="36"/>
          <w:szCs w:val="36"/>
          <w:lang w:eastAsia="zh-CN"/>
        </w:rPr>
      </w:pPr>
    </w:p>
    <w:p w14:paraId="7D80D7C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8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eastAsia="zh-CN"/>
        </w:rPr>
        <w:t>广州粤建三和软件股份有限公司简介</w:t>
      </w:r>
    </w:p>
    <w:p w14:paraId="4233F0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广州粤建三和软件股份有限公司成立于1999年，是国家高新技术企业、双软认证企业、信息系统集成及服务、信息技术服务运维标准符合（</w:t>
      </w:r>
      <w:r>
        <w:rPr>
          <w:rFonts w:hint="eastAsia" w:ascii="仿宋" w:hAnsi="仿宋" w:eastAsia="仿宋" w:cs="仿宋"/>
          <w:sz w:val="32"/>
          <w:szCs w:val="32"/>
          <w:u w:val="none"/>
        </w:rPr>
        <w:t>itss）</w:t>
      </w:r>
      <w:r>
        <w:rPr>
          <w:rFonts w:hint="eastAsia" w:ascii="仿宋" w:hAnsi="仿宋" w:eastAsia="仿宋" w:cs="仿宋"/>
          <w:sz w:val="32"/>
          <w:szCs w:val="32"/>
        </w:rPr>
        <w:t>、ISO9001和CMMI5国际认证的企业。公司以推动建设行业信息化为己任，长期致力于互联网+工程管理领域信息化技术的应用研发与推广，本着创新与服务的宗旨，引领了工程管理信息化的进步并创造了多个行业第一。</w:t>
      </w:r>
    </w:p>
    <w:p w14:paraId="607C5F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总部位于广东广州，现有员工近400余人，在北京、重庆、湖南、海南、江西、新疆等地成立了分子公司，同时在武汉、天津、杭州、南京、太原、郑州、长春、成都、济南、昆明等地设立办事处，营销服务网络覆盖全国，软件用户遍布全国二十多个省市地区，逾30000家企事业单位，设计建筑、水利、电力、公路、铁路、港务等多个建筑领域。</w:t>
      </w:r>
    </w:p>
    <w:p w14:paraId="44D094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公司自1999年以来，荣获11个科技进步奖、8个华夏建设科技奖，取得37项专利证书、13项资质证书、3项国家科技攻关课题、10个参与主编行业标准、31项住房和城乡建设部科技计划项目、148项软件著作权等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目前公司建设的省级检测信息服务平台有北京、广东、黑龙江、山西、山东、湖南、江西等。</w:t>
      </w:r>
    </w:p>
    <w:p w14:paraId="6E1AE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B52248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4D73F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1D499F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EC121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597C181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600" w:lineRule="exact"/>
        <w:textAlignment w:val="auto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标准版功能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说明</w:t>
      </w:r>
    </w:p>
    <w:tbl>
      <w:tblPr>
        <w:tblStyle w:val="7"/>
        <w:tblW w:w="94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1843"/>
        <w:gridCol w:w="5669"/>
      </w:tblGrid>
      <w:tr w14:paraId="06EF8F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tblHeader/>
          <w:jc w:val="center"/>
        </w:trPr>
        <w:tc>
          <w:tcPr>
            <w:tcW w:w="704" w:type="dxa"/>
            <w:noWrap w:val="0"/>
            <w:vAlign w:val="center"/>
          </w:tcPr>
          <w:p w14:paraId="58499C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276" w:type="dxa"/>
            <w:noWrap w:val="0"/>
            <w:vAlign w:val="center"/>
          </w:tcPr>
          <w:p w14:paraId="73EE69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1843" w:type="dxa"/>
            <w:noWrap w:val="0"/>
            <w:vAlign w:val="center"/>
          </w:tcPr>
          <w:p w14:paraId="32D81B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功能</w:t>
            </w:r>
          </w:p>
        </w:tc>
        <w:tc>
          <w:tcPr>
            <w:tcW w:w="5669" w:type="dxa"/>
            <w:noWrap w:val="0"/>
            <w:vAlign w:val="center"/>
          </w:tcPr>
          <w:p w14:paraId="5AE330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 w14:paraId="32E39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5D7B71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</w:t>
            </w:r>
          </w:p>
        </w:tc>
        <w:tc>
          <w:tcPr>
            <w:tcW w:w="1276" w:type="dxa"/>
            <w:noWrap w:val="0"/>
            <w:vAlign w:val="center"/>
          </w:tcPr>
          <w:p w14:paraId="1B9A69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首页</w:t>
            </w:r>
          </w:p>
        </w:tc>
        <w:tc>
          <w:tcPr>
            <w:tcW w:w="1843" w:type="dxa"/>
            <w:noWrap w:val="0"/>
            <w:vAlign w:val="center"/>
          </w:tcPr>
          <w:p w14:paraId="4D4B30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待办事项</w:t>
            </w:r>
          </w:p>
        </w:tc>
        <w:tc>
          <w:tcPr>
            <w:tcW w:w="5669" w:type="dxa"/>
            <w:noWrap w:val="0"/>
            <w:vAlign w:val="center"/>
          </w:tcPr>
          <w:p w14:paraId="4C3453A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展示所有业务流程待提交的数据，快捷进入对应菜单进行业务操作（根据登录账号权限展示）</w:t>
            </w:r>
          </w:p>
        </w:tc>
      </w:tr>
      <w:tr w14:paraId="362B1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7008C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738C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综合管理</w:t>
            </w:r>
          </w:p>
        </w:tc>
        <w:tc>
          <w:tcPr>
            <w:tcW w:w="1843" w:type="dxa"/>
            <w:noWrap w:val="0"/>
            <w:vAlign w:val="center"/>
          </w:tcPr>
          <w:p w14:paraId="6FD7A38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工程信息</w:t>
            </w:r>
          </w:p>
        </w:tc>
        <w:tc>
          <w:tcPr>
            <w:tcW w:w="5669" w:type="dxa"/>
            <w:noWrap w:val="0"/>
            <w:vAlign w:val="center"/>
          </w:tcPr>
          <w:p w14:paraId="59BE3E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工程信息的增删改查功能，通过工程类型、工程编号、工程名称、联系人等筛选条件统计查询，支持导入和导出excel功能</w:t>
            </w:r>
          </w:p>
        </w:tc>
      </w:tr>
      <w:tr w14:paraId="52F08B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858D8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F31B8A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7C520F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人员管理</w:t>
            </w:r>
          </w:p>
        </w:tc>
        <w:tc>
          <w:tcPr>
            <w:tcW w:w="5669" w:type="dxa"/>
            <w:noWrap w:val="0"/>
            <w:vAlign w:val="center"/>
          </w:tcPr>
          <w:p w14:paraId="421F114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企业内部人员基本信息管理，支持附件上传和下载</w:t>
            </w:r>
          </w:p>
        </w:tc>
      </w:tr>
      <w:tr w14:paraId="482DE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D1787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6F9FF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7D23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单位管理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5C09F7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保存委托过程中录入的参建单位、生产厂家、参建人员、工程部位等信息，形成台账，方便后续默认使用，支持导入导出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excel</w:t>
            </w:r>
          </w:p>
        </w:tc>
      </w:tr>
      <w:tr w14:paraId="07B48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C872E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DC29C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52DCA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生产厂家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7050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B902E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6B3D6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6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63DD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6D64E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工程部位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13B719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ECDA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1AAA4E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9BC7E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13612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客户人员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3E5170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C83A6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938A3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8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5B1BEF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00433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设备管理</w:t>
            </w:r>
          </w:p>
        </w:tc>
        <w:tc>
          <w:tcPr>
            <w:tcW w:w="5669" w:type="dxa"/>
            <w:noWrap w:val="0"/>
            <w:vAlign w:val="center"/>
          </w:tcPr>
          <w:p w14:paraId="626530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设备基本信息管理，含检定、使用记录、日常维护、预警等，支持导入导出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excel</w:t>
            </w:r>
          </w:p>
        </w:tc>
      </w:tr>
      <w:tr w14:paraId="63187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53BF3B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D853C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7CB5F7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文件管理</w:t>
            </w:r>
          </w:p>
        </w:tc>
        <w:tc>
          <w:tcPr>
            <w:tcW w:w="5669" w:type="dxa"/>
            <w:noWrap w:val="0"/>
            <w:vAlign w:val="center"/>
          </w:tcPr>
          <w:p w14:paraId="1E696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企业内部电子文件的上传、查阅、下载等，支持导入导出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excel</w:t>
            </w:r>
            <w:r>
              <w:rPr>
                <w:rFonts w:hint="eastAsia" w:ascii="仿宋" w:hAnsi="仿宋" w:eastAsia="仿宋" w:cs="仿宋"/>
                <w:sz w:val="32"/>
                <w:szCs w:val="32"/>
              </w:rPr>
              <w:t>。</w:t>
            </w:r>
          </w:p>
        </w:tc>
      </w:tr>
      <w:tr w14:paraId="4B4A7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E4424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10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D19C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A20318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焊工信息</w:t>
            </w:r>
          </w:p>
        </w:tc>
        <w:tc>
          <w:tcPr>
            <w:tcW w:w="5669" w:type="dxa"/>
            <w:noWrap w:val="0"/>
            <w:vAlign w:val="center"/>
          </w:tcPr>
          <w:p w14:paraId="1858A0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保存委托过程中的焊工人员，形成台账，方便后续默认使用，持导入导出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excel</w:t>
            </w:r>
          </w:p>
        </w:tc>
      </w:tr>
      <w:tr w14:paraId="0BB96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844A91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11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336D6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委托管理</w:t>
            </w:r>
          </w:p>
        </w:tc>
        <w:tc>
          <w:tcPr>
            <w:tcW w:w="1843" w:type="dxa"/>
            <w:noWrap w:val="0"/>
            <w:vAlign w:val="center"/>
          </w:tcPr>
          <w:p w14:paraId="41688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委托登记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6E51DB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委托业务的登记、修改、查询、作废等操作；委托单、样品流转卡、样品标签、委托台账等打印，支持导出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excel；支持第三方平台见证取样数据的对接（受理、退回、修改、作废等）</w:t>
            </w:r>
          </w:p>
        </w:tc>
      </w:tr>
      <w:tr w14:paraId="684475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31BE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8743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DE009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电子委托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7840F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89FCE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AA050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AA17E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2A9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委托完成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5DE7A2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517E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7B087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8B046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F5C2C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委托更改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2006F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81054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B05DD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8FBD4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6211B5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委托查询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E0AFE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1E1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BEEBD6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16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6A1BA4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检测管理</w:t>
            </w:r>
          </w:p>
        </w:tc>
        <w:tc>
          <w:tcPr>
            <w:tcW w:w="1843" w:type="dxa"/>
            <w:noWrap w:val="0"/>
            <w:vAlign w:val="center"/>
          </w:tcPr>
          <w:p w14:paraId="0606B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数据录入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1F03D0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试验数据录入、修改、查询等操作；原始记录打印</w:t>
            </w:r>
          </w:p>
        </w:tc>
      </w:tr>
      <w:tr w14:paraId="5B8FBC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574D0D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68EEAC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FD6E62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检测更改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4A53E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22A3B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200D0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6825C76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CD63D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检测查询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52A636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2377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004550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26AF4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86CE0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原始记录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04B02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8C70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6B3844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20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72350B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报告管理</w:t>
            </w:r>
          </w:p>
        </w:tc>
        <w:tc>
          <w:tcPr>
            <w:tcW w:w="1843" w:type="dxa"/>
            <w:noWrap w:val="0"/>
            <w:vAlign w:val="center"/>
          </w:tcPr>
          <w:p w14:paraId="3457C4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报告校核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60D839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报告校核、审核、批准、打印、发放、归档等业务操作；根据编号、工程、参建单位、人员、时间、检测类别、数据状态等筛选条件，进行报告的统计查询，支持导出PDF报告本地留存电子板。</w:t>
            </w:r>
          </w:p>
        </w:tc>
      </w:tr>
      <w:tr w14:paraId="64C796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1C39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21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13649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276105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报告审核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1E2E8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4581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4E10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1B565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8E66D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报告批准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B5E1F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5FA538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910EF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E6B78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57C57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报告打印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79C758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64BDB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2A35A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589FB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7E8A1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报告发放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0B9BFC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FA280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57B2B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323BC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4BB33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报告归档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66BA2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78FA55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192BE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26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21E89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0A8329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报告查询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7FED18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E2397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C6F38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65D139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5F5B21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报告签章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490B52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对系统报告进行电子签章，向甲方推送PDF电子报告</w:t>
            </w:r>
          </w:p>
        </w:tc>
      </w:tr>
      <w:tr w14:paraId="67FAB7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B74C3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28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8BA36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A54FD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报告推送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78864EB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61FB5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5801C29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29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B2AC1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A1CC3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中间报告</w:t>
            </w:r>
          </w:p>
        </w:tc>
        <w:tc>
          <w:tcPr>
            <w:tcW w:w="5669" w:type="dxa"/>
            <w:noWrap w:val="0"/>
            <w:vAlign w:val="center"/>
          </w:tcPr>
          <w:p w14:paraId="78A7085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对于水泥、配合比等涉及3d、7d的报告，进行审核、批准、打印、查询</w:t>
            </w:r>
          </w:p>
        </w:tc>
      </w:tr>
      <w:tr w14:paraId="39971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0D8646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30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6EEB37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57FAA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报告更改申请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3FEF92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对已经批准完成的报告进行更改时，发起申请和审批流程</w:t>
            </w:r>
          </w:p>
        </w:tc>
      </w:tr>
      <w:tr w14:paraId="0EE0D7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CF1ED4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31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0A1043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6A2246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报告更改审批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65247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9DB9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760438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32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1A911D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查询统计</w:t>
            </w:r>
          </w:p>
        </w:tc>
        <w:tc>
          <w:tcPr>
            <w:tcW w:w="1843" w:type="dxa"/>
            <w:noWrap w:val="0"/>
            <w:vAlign w:val="center"/>
          </w:tcPr>
          <w:p w14:paraId="2BACC9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样品登记台账</w:t>
            </w:r>
          </w:p>
        </w:tc>
        <w:tc>
          <w:tcPr>
            <w:tcW w:w="5669" w:type="dxa"/>
            <w:vMerge w:val="restart"/>
            <w:noWrap w:val="0"/>
            <w:vAlign w:val="center"/>
          </w:tcPr>
          <w:p w14:paraId="59603E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对业务数据按不同筛选条件进行归类统计，形成不同作用的台账明细，支持导出excel</w:t>
            </w:r>
          </w:p>
        </w:tc>
      </w:tr>
      <w:tr w14:paraId="11448C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A7D7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DF0330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5A443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工作量统计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4E2908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9B91B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036D68C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348754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5AC6D8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检测结果查询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10BD35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2CB4E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E3118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35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0DA95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C14CC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不合格台账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7E56650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2ABB9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8458A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36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B11F1A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235CD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委托登记台账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6A82A9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58DC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379368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37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A077E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C6869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报告推送台账</w:t>
            </w:r>
          </w:p>
        </w:tc>
        <w:tc>
          <w:tcPr>
            <w:tcW w:w="5669" w:type="dxa"/>
            <w:vMerge w:val="continue"/>
            <w:noWrap w:val="0"/>
            <w:vAlign w:val="center"/>
          </w:tcPr>
          <w:p w14:paraId="20D5E4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F09BF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3EF79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38</w:t>
            </w:r>
          </w:p>
        </w:tc>
        <w:tc>
          <w:tcPr>
            <w:tcW w:w="1276" w:type="dxa"/>
            <w:vMerge w:val="restart"/>
            <w:noWrap w:val="0"/>
            <w:vAlign w:val="center"/>
          </w:tcPr>
          <w:p w14:paraId="1A79F9F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系统管理</w:t>
            </w:r>
          </w:p>
        </w:tc>
        <w:tc>
          <w:tcPr>
            <w:tcW w:w="1843" w:type="dxa"/>
            <w:noWrap w:val="0"/>
            <w:vAlign w:val="center"/>
          </w:tcPr>
          <w:p w14:paraId="1F3989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系统维护</w:t>
            </w:r>
          </w:p>
        </w:tc>
        <w:tc>
          <w:tcPr>
            <w:tcW w:w="5669" w:type="dxa"/>
            <w:noWrap w:val="0"/>
            <w:vAlign w:val="center"/>
          </w:tcPr>
          <w:p w14:paraId="5DCCF5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异常处理，升级</w:t>
            </w:r>
          </w:p>
        </w:tc>
      </w:tr>
      <w:tr w14:paraId="74B7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0DCD48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39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6D3EA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031A05A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系统设置</w:t>
            </w:r>
          </w:p>
        </w:tc>
        <w:tc>
          <w:tcPr>
            <w:tcW w:w="5669" w:type="dxa"/>
            <w:noWrap w:val="0"/>
            <w:vAlign w:val="center"/>
          </w:tcPr>
          <w:p w14:paraId="1DC6BB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系统运行参数、系统风格、编号格式定义、检测项目流程定义、审批、数据字典等设置</w:t>
            </w:r>
          </w:p>
        </w:tc>
      </w:tr>
      <w:tr w14:paraId="2408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AB22B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40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5AB3BB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6901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检测项目</w:t>
            </w:r>
          </w:p>
        </w:tc>
        <w:tc>
          <w:tcPr>
            <w:tcW w:w="5669" w:type="dxa"/>
            <w:noWrap w:val="0"/>
            <w:vAlign w:val="center"/>
          </w:tcPr>
          <w:p w14:paraId="4C650AB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检测项目分类、通用模板格式、项目综合设置等</w:t>
            </w:r>
          </w:p>
        </w:tc>
      </w:tr>
      <w:tr w14:paraId="329FD0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6AB4DD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41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1BAE4D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49AE844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报告印章</w:t>
            </w:r>
          </w:p>
        </w:tc>
        <w:tc>
          <w:tcPr>
            <w:tcW w:w="5669" w:type="dxa"/>
            <w:noWrap w:val="0"/>
            <w:vAlign w:val="center"/>
          </w:tcPr>
          <w:p w14:paraId="0A9B35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印章大小、位置、更新等设置</w:t>
            </w:r>
          </w:p>
        </w:tc>
      </w:tr>
      <w:tr w14:paraId="1F49FC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274A58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42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71239E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156338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机构管理</w:t>
            </w:r>
          </w:p>
        </w:tc>
        <w:tc>
          <w:tcPr>
            <w:tcW w:w="5669" w:type="dxa"/>
            <w:noWrap w:val="0"/>
            <w:vAlign w:val="center"/>
          </w:tcPr>
          <w:p w14:paraId="70EDAD2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部门管理、检测场所、站点管理等设置</w:t>
            </w:r>
          </w:p>
        </w:tc>
      </w:tr>
      <w:tr w14:paraId="5C3241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03C24C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43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2654FC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77B01AD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用户管理</w:t>
            </w:r>
          </w:p>
        </w:tc>
        <w:tc>
          <w:tcPr>
            <w:tcW w:w="5669" w:type="dxa"/>
            <w:noWrap w:val="0"/>
            <w:vAlign w:val="center"/>
          </w:tcPr>
          <w:p w14:paraId="03CFC5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用户账号、权限设置</w:t>
            </w:r>
          </w:p>
        </w:tc>
      </w:tr>
      <w:tr w14:paraId="7C8DC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04" w:type="dxa"/>
            <w:noWrap w:val="0"/>
            <w:vAlign w:val="center"/>
          </w:tcPr>
          <w:p w14:paraId="439B43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44</w:t>
            </w:r>
          </w:p>
        </w:tc>
        <w:tc>
          <w:tcPr>
            <w:tcW w:w="1276" w:type="dxa"/>
            <w:vMerge w:val="continue"/>
            <w:noWrap w:val="0"/>
            <w:vAlign w:val="center"/>
          </w:tcPr>
          <w:p w14:paraId="474710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  <w:noWrap w:val="0"/>
            <w:vAlign w:val="center"/>
          </w:tcPr>
          <w:p w14:paraId="30430F5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日志查询</w:t>
            </w:r>
          </w:p>
        </w:tc>
        <w:tc>
          <w:tcPr>
            <w:tcW w:w="5669" w:type="dxa"/>
            <w:noWrap w:val="0"/>
            <w:vAlign w:val="center"/>
          </w:tcPr>
          <w:p w14:paraId="2BB2D7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40" w:lineRule="exact"/>
              <w:jc w:val="both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系统操作日志查询，修改记录的日志查询</w:t>
            </w:r>
          </w:p>
        </w:tc>
      </w:tr>
    </w:tbl>
    <w:p w14:paraId="54EC91D3">
      <w:pPr>
        <w:rPr>
          <w:rFonts w:hint="eastAsia" w:ascii="仿宋" w:hAnsi="仿宋" w:eastAsia="仿宋" w:cs="仿宋"/>
          <w:sz w:val="36"/>
          <w:szCs w:val="36"/>
        </w:rPr>
      </w:pPr>
    </w:p>
    <w:p w14:paraId="2E33471B">
      <w:pPr>
        <w:rPr>
          <w:rFonts w:hint="eastAsia" w:ascii="仿宋" w:hAnsi="仿宋" w:eastAsia="仿宋" w:cs="仿宋"/>
          <w:sz w:val="36"/>
          <w:szCs w:val="36"/>
        </w:rPr>
      </w:pPr>
    </w:p>
    <w:p w14:paraId="2787386E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79E215B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仿宋" w:hAnsi="仿宋" w:eastAsia="仿宋" w:cs="仿宋"/>
          <w:sz w:val="36"/>
          <w:szCs w:val="36"/>
          <w:lang w:eastAsia="zh-CN"/>
        </w:rPr>
      </w:pPr>
    </w:p>
    <w:p w14:paraId="34CC8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rPr>
          <w:rFonts w:hint="eastAsia" w:ascii="仿宋" w:hAnsi="仿宋" w:eastAsia="仿宋" w:cs="仿宋"/>
          <w:b/>
          <w:bCs/>
          <w:kern w:val="28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val="en-US" w:eastAsia="zh-CN"/>
        </w:rPr>
        <w:t>3.</w:t>
      </w: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eastAsia="zh-CN"/>
        </w:rPr>
        <w:t>湖南建研信息技术股份有限公司</w:t>
      </w:r>
      <w:r>
        <w:rPr>
          <w:rFonts w:hint="eastAsia" w:ascii="仿宋" w:hAnsi="仿宋" w:eastAsia="仿宋" w:cs="仿宋"/>
          <w:b/>
          <w:bCs/>
          <w:kern w:val="28"/>
          <w:sz w:val="32"/>
          <w:szCs w:val="32"/>
          <w:lang w:val="en-US" w:eastAsia="zh-CN"/>
        </w:rPr>
        <w:t>简介</w:t>
      </w:r>
    </w:p>
    <w:p w14:paraId="6C23774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湖南建研信息技术股份有限公司(股票代码:831937)成立于2007年,是湖南省长沙市高新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区一家专业从事建设工程质量与安全管理信息化软硬件产品设计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研发</w:t>
      </w:r>
      <w:r>
        <w:rPr>
          <w:rFonts w:hint="eastAsia" w:ascii="仿宋" w:hAnsi="仿宋" w:eastAsia="仿宋" w:cs="仿宋"/>
          <w:sz w:val="32"/>
          <w:szCs w:val="32"/>
        </w:rPr>
        <w:t>、技术服务的高新技术企业、规模企业。现有员工已逾400人,旗下共有6家全资分子公司、7家控股公司,对外投资多家企业。</w:t>
      </w:r>
    </w:p>
    <w:p w14:paraId="2A2E40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6"/>
          <w:szCs w:val="36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公司始终坚持“专注、创新、精良、服务”的经营理念,经过十余载的行业深耕发展,始终坚持将技术创新放在首位,拥有覆盖建设工程领域建设全过程的软硬件产品,现有著作权产品63个,并取得专利近30项。近年来连续获得湖南省“软件企业50强”、专精特新“小巨人”企业等多项荣誉、通过了国际软件领域最高CMMI5体系、ISO9001质量体系、S027001信息安全体系和5星售后服务等多项资质认证。</w:t>
      </w:r>
    </w:p>
    <w:p w14:paraId="6F71C676">
      <w:pPr>
        <w:jc w:val="center"/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软件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标准版功能</w:t>
      </w:r>
      <w:r>
        <w:rPr>
          <w:rFonts w:hint="eastAsia" w:ascii="仿宋" w:hAnsi="仿宋" w:eastAsia="仿宋" w:cs="仿宋"/>
          <w:b/>
          <w:bCs w:val="0"/>
          <w:sz w:val="32"/>
          <w:szCs w:val="32"/>
          <w:lang w:eastAsia="zh-CN"/>
        </w:rPr>
        <w:t>说明</w:t>
      </w:r>
    </w:p>
    <w:tbl>
      <w:tblPr>
        <w:tblStyle w:val="7"/>
        <w:tblW w:w="95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1648"/>
        <w:gridCol w:w="1977"/>
        <w:gridCol w:w="5212"/>
      </w:tblGrid>
      <w:tr w14:paraId="2453DF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994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282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模块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5819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功能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6C31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说明</w:t>
            </w:r>
          </w:p>
        </w:tc>
      </w:tr>
      <w:tr w14:paraId="3FCB9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A7B2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1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公告管理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FEA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通知公告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65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推送企业通知</w:t>
            </w:r>
          </w:p>
        </w:tc>
      </w:tr>
      <w:tr w14:paraId="28DDA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6C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84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综合查询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B7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综合查询</w:t>
            </w:r>
          </w:p>
        </w:tc>
        <w:tc>
          <w:tcPr>
            <w:tcW w:w="5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E96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根据检索条件快速查询统计</w:t>
            </w:r>
          </w:p>
        </w:tc>
      </w:tr>
      <w:tr w14:paraId="13CD0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2E2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5C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8A2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参建单位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7CA1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工程参建各方与检测企业存在检测活动的单位信息录入(包含但不限于)；工程、合同的增、删、改、查、统计管理</w:t>
            </w:r>
          </w:p>
        </w:tc>
      </w:tr>
      <w:tr w14:paraId="294BC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AB7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185C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FA0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工程管理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3A2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68EBA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B47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126E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506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合同管理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FBC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DD870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DA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4E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CF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委托收样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E4C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送样材料、成品、半成品的检测委托登记、修改、勘误、查询、统计分析</w:t>
            </w:r>
          </w:p>
        </w:tc>
      </w:tr>
      <w:tr w14:paraId="43CD45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5BB5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A10A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352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委托复核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49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DBDD3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71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902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C7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委托查询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309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B416C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FA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02B4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2F4E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委托勘误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35A53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3BFB3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0426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036A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1E72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委托台账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92A7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EFD7A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E6DE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11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DD1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1878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样品入库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9C3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送检材料进行入库、出库、留样、销毁管理，实现样品的溯源管理</w:t>
            </w:r>
          </w:p>
        </w:tc>
      </w:tr>
      <w:tr w14:paraId="16A8BB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895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46A78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3D0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样品出库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2142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B2072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94B9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504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45E5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样品留样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47F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FC4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26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08DAE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21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样品销毁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C80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EA79F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5CD7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15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06A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513A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任务确认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3959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试验员根据任务单在系统领取任务，输入原始数据，系统自动计算汇总并填充报告及记录模板，试验完成后可预览报告、原始记录，并对试验员工作量进行统计分析，支持自动采集试验意外停止申请异常处理</w:t>
            </w:r>
          </w:p>
        </w:tc>
      </w:tr>
      <w:tr w14:paraId="4E012A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E0F1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2F81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44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试验录入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C7E32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4532C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BF7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0642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4F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原始记录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A8B1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EBE8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3FC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56D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A49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采集异常勘误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6DE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1E4F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9BE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5C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3F3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1C7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F11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C870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313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报告审批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A87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报告审核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026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试验报告审批</w:t>
            </w:r>
          </w:p>
        </w:tc>
      </w:tr>
      <w:tr w14:paraId="58B1C8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4EA3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135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B1F4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报告批准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4508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75B5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E4F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22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C9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7EA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报告打印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711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报告打印、发放、归档及勘误管理</w:t>
            </w:r>
          </w:p>
        </w:tc>
      </w:tr>
      <w:tr w14:paraId="68E0FD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30C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23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1DB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38B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发放报告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61B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637F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E57F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EF9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551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报告归档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B634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CF06F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4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4F7F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4B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报告勘误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FEE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0D1043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834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F81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管理台账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138C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不合格台账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FEE6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试验室管理员常用的不合格、委托、报告、设备使用、数据上传等各类统计分析台账</w:t>
            </w:r>
          </w:p>
        </w:tc>
      </w:tr>
      <w:tr w14:paraId="18BC6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47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27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6AE66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39DC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检测委托单统计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5321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B00A7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65D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73EC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B8D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检测报告统计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E7791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A64A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2400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3E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CA8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试验设备使用台账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B9C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3DA41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90EA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F82E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77F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数据勘误台账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7B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AB7BC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8D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4A6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6E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试验退回台账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25A4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28BE27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5DB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32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3770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580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数据上传台账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03EF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A444E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B8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33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8D8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质量管理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1931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人员管理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FC6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试验室人员(含电子签名)、设备、试验标准的增、删、改、查管理</w:t>
            </w:r>
          </w:p>
        </w:tc>
      </w:tr>
      <w:tr w14:paraId="666774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714B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34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C99C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93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检测设备信息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A8D2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1AF11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C376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35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FEC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E1AC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试验设备使用台账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215D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8F47F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6961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36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F23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5F2E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技术标准管理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267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6673C2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E49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37</w:t>
            </w:r>
          </w:p>
        </w:tc>
        <w:tc>
          <w:tcPr>
            <w:tcW w:w="16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E210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系统管理</w:t>
            </w: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5F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检测机构信息</w:t>
            </w:r>
          </w:p>
        </w:tc>
        <w:tc>
          <w:tcPr>
            <w:tcW w:w="52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080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检测机构的基本信息、系统操作记录管理</w:t>
            </w:r>
          </w:p>
        </w:tc>
      </w:tr>
      <w:tr w14:paraId="7AFC11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ED1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38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BDAB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B386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组织机构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39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434F0D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EF1D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39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8E4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4F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编号规则管理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52EA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D1904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FA8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40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0EC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5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操作日志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5361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7F0531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7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6DF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41</w:t>
            </w:r>
          </w:p>
        </w:tc>
        <w:tc>
          <w:tcPr>
            <w:tcW w:w="16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369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1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6D6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日志文件列表</w:t>
            </w:r>
          </w:p>
        </w:tc>
        <w:tc>
          <w:tcPr>
            <w:tcW w:w="52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90E15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80" w:lineRule="exact"/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</w:tbl>
    <w:p w14:paraId="7A6CF388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60062E3F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62235025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2899784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25D849F5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3E749670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3443E06D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1BDCE47D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61E780FB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66E69C55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442D5C40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0B401EAB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5C8E58EF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77EE4942">
      <w:pPr>
        <w:jc w:val="both"/>
        <w:rPr>
          <w:rFonts w:hint="eastAsia" w:ascii="仿宋" w:hAnsi="仿宋" w:eastAsia="仿宋" w:cs="仿宋"/>
          <w:sz w:val="36"/>
          <w:szCs w:val="36"/>
          <w:lang w:val="en-US" w:eastAsia="zh-CN"/>
        </w:rPr>
      </w:pPr>
    </w:p>
    <w:p w14:paraId="10DB661E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附件二：检验检测信息化软件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运维服务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合同（参考模板）</w:t>
      </w:r>
    </w:p>
    <w:p w14:paraId="60D78344"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​</w:t>
      </w:r>
    </w:p>
    <w:p w14:paraId="4F4391E5">
      <w:pPr>
        <w:jc w:val="left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合同编号​：________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br w:type="textWrapping"/>
      </w:r>
    </w:p>
    <w:p w14:paraId="3FECA77C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FAE0CD9">
      <w:pPr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03D5164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58F00DE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1A79184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853F0EC">
      <w:pPr>
        <w:jc w:val="center"/>
        <w:rPr>
          <w:rFonts w:hint="eastAsia" w:ascii="仿宋" w:hAnsi="仿宋" w:eastAsia="仿宋" w:cs="仿宋"/>
          <w:b/>
          <w:bCs w:val="0"/>
          <w:sz w:val="40"/>
          <w:szCs w:val="40"/>
        </w:rPr>
      </w:pPr>
      <w:r>
        <w:rPr>
          <w:rFonts w:hint="eastAsia" w:ascii="仿宋" w:hAnsi="仿宋" w:eastAsia="仿宋" w:cs="仿宋"/>
          <w:b/>
          <w:bCs w:val="0"/>
          <w:sz w:val="40"/>
          <w:szCs w:val="40"/>
        </w:rPr>
        <w:t>检验检测信息化软件运维服务合同</w:t>
      </w:r>
    </w:p>
    <w:p w14:paraId="522D3CB6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A7ECD2B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48881CD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DB3706A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01DDA7A">
      <w:pPr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53A92C2">
      <w:pPr>
        <w:jc w:val="both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DC98514"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二零二五年</w:t>
      </w: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月</w:t>
      </w:r>
    </w:p>
    <w:p w14:paraId="703D8561">
      <w:p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C975260">
      <w:p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4B701CC">
      <w:p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DD8FFDA">
      <w:p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A5144C8">
      <w:pPr>
        <w:spacing w:line="360" w:lineRule="auto"/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20FC02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甲方：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7DBC100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3" w:firstLineChars="200"/>
        <w:textAlignment w:val="auto"/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b/>
          <w:sz w:val="32"/>
          <w:szCs w:val="32"/>
        </w:rPr>
        <w:t>乙方：</w:t>
      </w:r>
      <w:r>
        <w:rPr>
          <w:rFonts w:hint="eastAsia" w:ascii="仿宋" w:hAnsi="仿宋" w:eastAsia="仿宋" w:cs="仿宋"/>
          <w:b/>
          <w:sz w:val="32"/>
          <w:szCs w:val="32"/>
          <w:u w:val="single"/>
          <w:lang w:val="en-US" w:eastAsia="zh-CN"/>
        </w:rPr>
        <w:t xml:space="preserve">                                       </w:t>
      </w:r>
    </w:p>
    <w:p w14:paraId="60479F1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FD2153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bCs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鉴于甲方是河南省建设工程质量监督检测行业协会（以下简称协会）会员单位，受协会委托，乙方向甲方提供检验检测信息化软件的安装部署及运维服务</w:t>
      </w:r>
      <w:r>
        <w:rPr>
          <w:rFonts w:hint="eastAsia" w:ascii="仿宋" w:hAnsi="仿宋" w:eastAsia="仿宋" w:cs="仿宋"/>
          <w:bCs/>
          <w:sz w:val="32"/>
          <w:szCs w:val="32"/>
        </w:rPr>
        <w:t>。</w:t>
      </w:r>
    </w:p>
    <w:p w14:paraId="2CFF346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根据《中华人民共和国民法典》及其他相关法律、法规的规定，甲、乙双方经友好协商，在公平、平等、自愿、诚信、守法的原则下,签订本合同，双方共同遵守。 </w:t>
      </w:r>
    </w:p>
    <w:p w14:paraId="15F0621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kern w:val="0"/>
          <w:sz w:val="32"/>
          <w:szCs w:val="32"/>
          <w:lang w:val="en-US" w:eastAsia="zh-CN" w:bidi="ar-SA"/>
        </w:rPr>
        <w:t>第一条 服务内容</w:t>
      </w:r>
    </w:p>
    <w:p w14:paraId="27F817C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1.免费安装部署服务</w:t>
      </w:r>
    </w:p>
    <w:p w14:paraId="18E68B1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乙方为甲方提供检验检测信息化软件（标准版）免费安装部署，甲方承担乙方进驻现场的交通、食宿等差旅费。本地安装的硬件设备配置或云端部署的云储存配置由甲方自行承担。云存储产品可由会员自行解决或由协会集中采购。详细标准版功能见附件1《标准版功能清单》，配置需求见附件3《系统配置需求清单》。</w:t>
      </w:r>
    </w:p>
    <w:p w14:paraId="5A29149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2.运维服务</w:t>
      </w:r>
    </w:p>
    <w:p w14:paraId="2188A49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乙方为甲方提供系统运维服务，包括日常维护、故障修复、性能优化等（具体内容见附件2《运维服务清单》）</w:t>
      </w:r>
    </w:p>
    <w:p w14:paraId="3C8E8C01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定制化服务</w:t>
      </w:r>
    </w:p>
    <w:p w14:paraId="36CD91D5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如甲方需要标准版以外定制功能，由甲方与乙方另行协商并签订补充协议确定费用及交付标准。乙方应在收到需求后5个工作日内反馈方案及报价；</w:t>
      </w:r>
    </w:p>
    <w:p w14:paraId="21B8491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重大升级服务</w:t>
      </w:r>
    </w:p>
    <w:p w14:paraId="7CD4C0D9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涉及标准版的系统架构调整或重大功能升级，经协会批准且甲方书面确认后方可执行。</w:t>
      </w:r>
    </w:p>
    <w:p w14:paraId="61419193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第二条 服务费用与支付方式​</w:t>
      </w:r>
    </w:p>
    <w:p w14:paraId="63F2F485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1.标准版运维服务费：人民币________元（含税）；</w:t>
      </w:r>
    </w:p>
    <w:p w14:paraId="0D4D0AFA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2.支付方式：合同签订后5个工作日内支付首期运维服务费；后续年度运维服务费于当年第一季度支付；乙方应在收到款项后3个工作日内出具等额增值税专用发票。</w:t>
      </w:r>
    </w:p>
    <w:p w14:paraId="28C57AA8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支付账户名称：</w:t>
      </w:r>
    </w:p>
    <w:p w14:paraId="0F49CEA4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开户行：</w:t>
      </w:r>
    </w:p>
    <w:p w14:paraId="04450E02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账  号：</w:t>
      </w:r>
    </w:p>
    <w:p w14:paraId="385DC3A6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56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3.标准版运维服务项目以外的项目收费参照附件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《运维服务清单》执行；</w:t>
      </w:r>
    </w:p>
    <w:p w14:paraId="0B26167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4.定制化需求服务费：如甲方需额外定制功能，由双方另行协商并签订补充合同确定费用及交付标准。</w:t>
      </w:r>
    </w:p>
    <w:p w14:paraId="57E07219">
      <w:pPr>
        <w:pStyle w:val="11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第三条 知识产权​</w:t>
      </w:r>
    </w:p>
    <w:p w14:paraId="17673C37">
      <w:pPr>
        <w:pStyle w:val="11"/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Chars="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甲方保留检测数据、检测方法的所有权；</w:t>
      </w:r>
    </w:p>
    <w:p w14:paraId="445996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2.乙方保留软件的知识产权。但应保证甲方在合同有效期内享有软件的合法使用权，包括数据导出、系统迁移、接口开放等必要权利。乙方不得以知识产权为由限制甲方正常使用或数据迁移。</w:t>
      </w:r>
    </w:p>
    <w:p w14:paraId="781E5FA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3.双方应对履行本合同过程中知悉的对方商业秘密、技术秘密等保密信息承担永久保密义务。</w:t>
      </w:r>
    </w:p>
    <w:p w14:paraId="43841F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第四条 合同期限与终止​</w:t>
      </w:r>
    </w:p>
    <w:p w14:paraId="5FEA4A0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1.合同期限：本合同有效期为  年，自   年  月  日至   年   月  日。若双方在合同到期前30日未书面提出异议，则合同自动顺延一年。如甲乙双方有异议，可于年度合同期满前30日以</w:t>
      </w:r>
      <w:r>
        <w:rPr>
          <w:rFonts w:hint="eastAsia" w:ascii="仿宋" w:hAnsi="仿宋" w:eastAsia="仿宋" w:cs="仿宋"/>
          <w:sz w:val="32"/>
          <w:szCs w:val="32"/>
        </w:rPr>
        <w:t>书面形式通知对方。</w:t>
      </w:r>
    </w:p>
    <w:p w14:paraId="3DC2B6D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2.任何一方严重违约且未在30日内整改的，守约方可书面通知对方终止合同，合同自通知送达之日起生效。</w:t>
      </w:r>
    </w:p>
    <w:p w14:paraId="7F16F90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3.因不可抗力导致合同无法履行的，双方可协商终止合同，互不承担违约责任。​</w:t>
      </w:r>
    </w:p>
    <w:p w14:paraId="6A0BAD3D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第五条 其它事宜</w:t>
      </w:r>
    </w:p>
    <w:p w14:paraId="35F92AD3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争议解决：因本合同发生的争议，双方先协商解决；协商不成的，应提交甲、乙方所在地人民法院管辖。</w:t>
      </w:r>
    </w:p>
    <w:p w14:paraId="59252798">
      <w:pPr>
        <w:pStyle w:val="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本合同的修改、补充须采用书面形式，经双方授权代表签字并盖章后生效。补充合同与本合同具有同等法律效力。</w:t>
      </w:r>
    </w:p>
    <w:p w14:paraId="477E3768">
      <w:pPr>
        <w:pStyle w:val="5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3.</w:t>
      </w:r>
      <w:r>
        <w:rPr>
          <w:rFonts w:hint="eastAsia" w:ascii="仿宋" w:hAnsi="仿宋" w:eastAsia="仿宋" w:cs="仿宋"/>
          <w:sz w:val="32"/>
          <w:szCs w:val="32"/>
        </w:rPr>
        <w:t>本协议附件（《标准版功能清单》《运维服务清单》《系统配置需求清单》）为本协议不可分割的组成部分，与本协议具有同等法律效力。协议附件如需进行任何内容变更，须经甲乙双方协商一致，并以书面形式确认后方可生效，任何一方不得单方变更附件内容。</w:t>
      </w:r>
    </w:p>
    <w:p w14:paraId="530F1987">
      <w:pPr>
        <w:pStyle w:val="5"/>
        <w:keepNext w:val="0"/>
        <w:keepLines w:val="0"/>
        <w:pageBreakBefore w:val="0"/>
        <w:widowControl w:val="0"/>
        <w:numPr>
          <w:ilvl w:val="255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4.本合作合同一式肆份，双方各持两份，合同自签定之日起生效。</w:t>
      </w:r>
    </w:p>
    <w:p w14:paraId="75DB5C1F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（以下无正文）</w:t>
      </w:r>
    </w:p>
    <w:p w14:paraId="5F68285A"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482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</w:p>
    <w:p w14:paraId="7626C14F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：《标准版功能清单》</w:t>
      </w:r>
    </w:p>
    <w:p w14:paraId="7C3E92E8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：《运维服务清单》</w:t>
      </w:r>
    </w:p>
    <w:p w14:paraId="279FC2A0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：《系统配置需求清单》</w:t>
      </w:r>
    </w:p>
    <w:p w14:paraId="779C9F3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3AE78A3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27CBEAC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4E36439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609545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甲  方（盖章）：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</w:t>
      </w:r>
    </w:p>
    <w:p w14:paraId="2E549FD3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法定代表人/授权代表（签字）：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 w14:paraId="41169AE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15C77FA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4AF9FFC1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281280A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​</w:t>
      </w:r>
    </w:p>
    <w:p w14:paraId="39C1E5DB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053DD515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乙  方（盖章）：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</w:t>
      </w:r>
    </w:p>
    <w:p w14:paraId="45AF240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法定代表人/授权代表（签字）：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</w:t>
      </w:r>
    </w:p>
    <w:p w14:paraId="43001EA6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 系 人：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7C4C0F32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联系电话：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                                    </w:t>
      </w:r>
    </w:p>
    <w:p w14:paraId="16543687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2"/>
          <w:szCs w:val="32"/>
        </w:rPr>
        <w:t xml:space="preserve"> 期：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698E9A1C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7B61F6A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0" w:firstLineChars="1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4444D554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0" w:firstLineChars="1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0DE8771E">
      <w:pPr>
        <w:pStyle w:val="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firstLine="540" w:firstLineChars="150"/>
        <w:textAlignment w:val="auto"/>
        <w:rPr>
          <w:rFonts w:hint="eastAsia" w:ascii="仿宋" w:hAnsi="仿宋" w:eastAsia="仿宋" w:cs="仿宋"/>
          <w:sz w:val="36"/>
          <w:szCs w:val="36"/>
        </w:rPr>
      </w:pPr>
    </w:p>
    <w:p w14:paraId="19EC1B30">
      <w:pP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1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：标准版功能清单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2"/>
          <w:szCs w:val="32"/>
          <w:lang w:val="en-US" w:eastAsia="zh-CN"/>
        </w:rPr>
        <w:t>(以各软件研发企业实际情况为准)</w:t>
      </w:r>
    </w:p>
    <w:p w14:paraId="20E914D3">
      <w:pPr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</w:p>
    <w:tbl>
      <w:tblPr>
        <w:tblStyle w:val="7"/>
        <w:tblW w:w="892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5"/>
        <w:gridCol w:w="2445"/>
        <w:gridCol w:w="4045"/>
      </w:tblGrid>
      <w:tr w14:paraId="41872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1B01B4BE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4885E603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6521AA38"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功能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57A2BBC1">
            <w:pPr>
              <w:widowControl/>
              <w:ind w:left="638" w:leftChars="304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 w14:paraId="49A566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58B194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D066DA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工程管理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5B602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1D80A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提供工程项目的增删改查功能，以及从上级平台下载与导入功能</w:t>
            </w:r>
          </w:p>
        </w:tc>
      </w:tr>
      <w:tr w14:paraId="6C9700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CC7C02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141218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2904F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查询统计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F1720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304E2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77D7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36A893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63935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下载/导入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A00CCF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B34A6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4EAF2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774CE7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B7292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修改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634B38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F58C2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AA9B6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6B39B62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BC572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AD177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提供合同的增删改查功能</w:t>
            </w:r>
          </w:p>
        </w:tc>
      </w:tr>
      <w:tr w14:paraId="35A9407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F8A1E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28F81D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2EAF3C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合同查询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EF642C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9EFB4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FBF2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6B20C3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345598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B85B401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提供检测委托的增改查作废功能。</w:t>
            </w:r>
          </w:p>
        </w:tc>
      </w:tr>
      <w:tr w14:paraId="459B761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5F008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835AF4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AD6D110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委托修改/作废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3B36E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639C3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49494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83E275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84003E0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81A021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FDB47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3F4DB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0E6F1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5CA1EAF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委托统计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D519432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72F9531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5A72D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881299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样品管理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07B5E9D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留样管理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187E38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检测样品收样，留样，退样的增删改查功能</w:t>
            </w:r>
          </w:p>
        </w:tc>
      </w:tr>
      <w:tr w14:paraId="4F64B2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3DD2D3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18AFC0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4B78A6C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退样管理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4C6B5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F720D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FD9D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FEB916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0752BE34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试验录入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14541402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提供试验过程数据保存，生成报告。提供试验原数据管理打印，以及试验过程的查询统计。</w:t>
            </w:r>
          </w:p>
        </w:tc>
      </w:tr>
      <w:tr w14:paraId="77CB64A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7C5A95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3A726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D05645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试验查询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7723A8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5D357E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064F9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0483AC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A103648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原数据管理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FA5725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241624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62F8C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11DD1F6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989160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原始记录打印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B39DF13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0F949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11ECCF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17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8C747B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E5EA26B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报告审核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</w:tcPr>
          <w:p w14:paraId="3393DB67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按照报告的三级审核要求，提供报告的审核，批准，以及发放。生成报告归档文件，以及报告查询统计</w:t>
            </w:r>
          </w:p>
        </w:tc>
      </w:tr>
      <w:tr w14:paraId="7C5D77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8BB4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18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8C7414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0E20BE6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报告批准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BA4E2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F261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C26FF0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45F3E48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C035B27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报告打印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F68CC8F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4A2023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9FE099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9E47C8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29F1751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报告归档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DD03EB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2C5CE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DD3FFD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21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A95332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30636BCC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报告发放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2729BAB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DBE51C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05491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D53A5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B0AEA9E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报告查询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75B5E99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B740E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8B1CE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23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11487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权限管理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EC14FE3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企业管理</w:t>
            </w:r>
          </w:p>
        </w:tc>
        <w:tc>
          <w:tcPr>
            <w:tcW w:w="404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147A66C">
            <w:pPr>
              <w:widowControl/>
              <w:jc w:val="lef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系统基本功能</w:t>
            </w:r>
          </w:p>
        </w:tc>
      </w:tr>
      <w:tr w14:paraId="6C3A05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8D95F8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9DEDB05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F9A3F43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部门管理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086519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A9729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F9C8E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25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BC1A42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5CE39EC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用户管理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B7BD2F1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7B2D0B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B5AD01B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26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5E7A8C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C316075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角色管理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A5CFF20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4D527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DE354A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27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B46673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7B61464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菜单管理</w:t>
            </w:r>
          </w:p>
        </w:tc>
        <w:tc>
          <w:tcPr>
            <w:tcW w:w="404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04E2FBC4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3972EE6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04E113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28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D6567E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系统设置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261ADDCA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资质分类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70FA6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A9AE9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BA57CC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29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C28D037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72E351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检测分类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B23F3AF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E56AB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E2F56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30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7E1D216A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FBCBBD2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检测项目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4627DA">
            <w:pPr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21C960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CA9A9AE">
            <w:pPr>
              <w:widowControl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31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DB1DEBC">
            <w:pPr>
              <w:widowControl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6EC465F0">
            <w:pPr>
              <w:widowControl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报告模板管理</w:t>
            </w:r>
          </w:p>
        </w:tc>
        <w:tc>
          <w:tcPr>
            <w:tcW w:w="40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F1B92D"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报告模板</w:t>
            </w:r>
          </w:p>
        </w:tc>
      </w:tr>
    </w:tbl>
    <w:p w14:paraId="2AC90E35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870930A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A05B499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D457CEB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6A2C1DE9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233A991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2882F2AA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FB137EE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：运维服务清单</w:t>
      </w:r>
    </w:p>
    <w:p w14:paraId="7246B085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7"/>
        <w:tblW w:w="9147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1755"/>
        <w:gridCol w:w="2445"/>
        <w:gridCol w:w="4272"/>
      </w:tblGrid>
      <w:tr w14:paraId="13D252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tblHeader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0F6684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175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7712D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模块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5BAA3E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项目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EEECE1" w:themeFill="background2"/>
            <w:noWrap/>
            <w:vAlign w:val="center"/>
          </w:tcPr>
          <w:p w14:paraId="3C8D6D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32"/>
                <w:szCs w:val="32"/>
              </w:rPr>
              <w:t>说明</w:t>
            </w:r>
          </w:p>
        </w:tc>
      </w:tr>
      <w:tr w14:paraId="6E2698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B06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right w:val="single" w:color="000000" w:sz="4" w:space="0"/>
            </w:tcBorders>
            <w:noWrap/>
            <w:vAlign w:val="center"/>
          </w:tcPr>
          <w:p w14:paraId="6A5873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标准版服务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4F2C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服务方式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496E0A6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乙方提供热线电话、互联网、在线远程等服务方式。</w:t>
            </w:r>
          </w:p>
          <w:p w14:paraId="3FB9E0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79F5E9A5">
            <w:pPr>
              <w:keepNext w:val="0"/>
              <w:keepLines w:val="0"/>
              <w:pageBreakBefore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产品运行一般故障问题，乙方即时在互联网为甲方进行维护。涉及系统运行故障等重大问题需现场维护的，乙方在2个工作日内与甲方联系提供现场服务（发生不可抗力因素除外）。</w:t>
            </w:r>
          </w:p>
          <w:p w14:paraId="788C671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  <w:p w14:paraId="4F94F7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３、乙方依据产品所涉及的国家和行业标准，在质保期和有效服务期内提供长期升级服务，有效服务期指甲乙签订的服务协议中包含的服务期限。</w:t>
            </w:r>
          </w:p>
        </w:tc>
      </w:tr>
      <w:tr w14:paraId="202D27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B89F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2037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E9F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操作指导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DD4AD1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03CD70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BD61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61942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986F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小版本升级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ACDA2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大版本号不变</w:t>
            </w:r>
          </w:p>
        </w:tc>
      </w:tr>
      <w:tr w14:paraId="7034BDC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B2B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5B33F0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14D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二次安装远程指导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EE0AD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19E47B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EE5DD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C1BA0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F3BD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系统备份方案咨询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6A4F5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412C53A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549D5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2F8D1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4E9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标准变化升级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CEFB9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无算法或规则变化</w:t>
            </w:r>
          </w:p>
        </w:tc>
      </w:tr>
      <w:tr w14:paraId="28C7FE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985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17EAA8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DDB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本地数据备份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D7159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5E11B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9B1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1755" w:type="dxa"/>
            <w:vMerge w:val="continue"/>
            <w:tcBorders>
              <w:left w:val="nil"/>
              <w:right w:val="single" w:color="000000" w:sz="4" w:space="0"/>
            </w:tcBorders>
            <w:vAlign w:val="center"/>
          </w:tcPr>
          <w:p w14:paraId="70E6E6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B3E3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系统初始化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35E6F7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初次安装后系统数据的初始化以及历史数据导入。至少提供５０个检测项目标准。</w:t>
            </w:r>
          </w:p>
        </w:tc>
      </w:tr>
      <w:tr w14:paraId="070A42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509C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1755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EB1B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C454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系统排查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3B135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每季度对用户系统进行一次系统排查，出具隐患报告以及解决方案。</w:t>
            </w:r>
          </w:p>
        </w:tc>
      </w:tr>
      <w:tr w14:paraId="56D9F8F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0673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10</w:t>
            </w:r>
          </w:p>
        </w:tc>
        <w:tc>
          <w:tcPr>
            <w:tcW w:w="1755" w:type="dxa"/>
            <w:vMerge w:val="restart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1F82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center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定制服务</w:t>
            </w: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3940B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个性化要求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B0494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超出标准版功能范围，按照1300元/人天计算</w:t>
            </w:r>
          </w:p>
        </w:tc>
      </w:tr>
      <w:tr w14:paraId="2103785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CEA9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11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4051D7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7B2E2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大版本升级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545CD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大版本号改变需要升级，与协会协商后按照统一价格执行</w:t>
            </w:r>
          </w:p>
        </w:tc>
      </w:tr>
      <w:tr w14:paraId="275AF3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7395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12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6AC1CC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5DEF2D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数据恢复/系统恢复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67F7F5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</w:tr>
      <w:tr w14:paraId="61E93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37E0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4C674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5A1B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设备自动采集接口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460966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需要软件提供特殊接口，或需要软件与设备硬件直接对接</w:t>
            </w:r>
          </w:p>
        </w:tc>
      </w:tr>
      <w:tr w14:paraId="3EECDB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617C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14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51D7E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189881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需要专用云数据备份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</w:tcPr>
          <w:p w14:paraId="319F7F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textAlignment w:val="top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需要系统提供专用云进行远程数据备份</w:t>
            </w:r>
          </w:p>
        </w:tc>
      </w:tr>
      <w:tr w14:paraId="1E3D96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FAA1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15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12C5DC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21EF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系统迁移/数据迁移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67B4214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按照800元/人天计价</w:t>
            </w:r>
          </w:p>
        </w:tc>
      </w:tr>
      <w:tr w14:paraId="34E3D2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4A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right"/>
              <w:textAlignment w:val="center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16</w:t>
            </w:r>
          </w:p>
        </w:tc>
        <w:tc>
          <w:tcPr>
            <w:tcW w:w="1755" w:type="dxa"/>
            <w:vMerge w:val="continue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 w14:paraId="23B5AD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</w:p>
        </w:tc>
        <w:tc>
          <w:tcPr>
            <w:tcW w:w="244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bottom"/>
          </w:tcPr>
          <w:p w14:paraId="4855D19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jc w:val="left"/>
              <w:textAlignment w:val="bottom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32"/>
                <w:szCs w:val="32"/>
              </w:rPr>
              <w:t>报告模板改造或增加</w:t>
            </w:r>
          </w:p>
        </w:tc>
        <w:tc>
          <w:tcPr>
            <w:tcW w:w="427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</w:tcPr>
          <w:p w14:paraId="213442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</w:rPr>
              <w:t>超出规定范围内或个性化的报告模板制作固定模板2000元/个，半固定模板1000元/个，自定义模板800元/个</w:t>
            </w:r>
          </w:p>
        </w:tc>
      </w:tr>
    </w:tbl>
    <w:p w14:paraId="632B8B12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7F304689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525FB1C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0C26628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363B697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F263E0E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347F5122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A4DF2B2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5986DC5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41037D5F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426A391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38D5295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0F10F397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5C97F4DC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p w14:paraId="18DF0394">
      <w:pP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32"/>
          <w:szCs w:val="32"/>
        </w:rPr>
        <w:t>：系统配置需求清单</w:t>
      </w:r>
    </w:p>
    <w:p w14:paraId="62FE2CD3">
      <w:pPr>
        <w:rPr>
          <w:rFonts w:hint="eastAsia" w:ascii="仿宋" w:hAnsi="仿宋" w:eastAsia="仿宋" w:cs="仿宋"/>
          <w:b/>
          <w:bCs/>
          <w:sz w:val="36"/>
          <w:szCs w:val="36"/>
        </w:rPr>
      </w:pPr>
    </w:p>
    <w:tbl>
      <w:tblPr>
        <w:tblStyle w:val="7"/>
        <w:tblW w:w="881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90"/>
        <w:gridCol w:w="4320"/>
      </w:tblGrid>
      <w:tr w14:paraId="292289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14:paraId="5C5CF54F">
            <w:pPr>
              <w:ind w:firstLine="482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auto"/>
              </w:rPr>
              <w:t>名称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B3B3B3"/>
            <w:vAlign w:val="center"/>
          </w:tcPr>
          <w:p w14:paraId="38025438">
            <w:pPr>
              <w:ind w:firstLine="482"/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auto"/>
              </w:rPr>
            </w:pPr>
            <w:r>
              <w:rPr>
                <w:rFonts w:hint="eastAsia" w:ascii="仿宋" w:hAnsi="仿宋" w:eastAsia="仿宋" w:cs="仿宋"/>
                <w:b/>
                <w:sz w:val="32"/>
                <w:szCs w:val="32"/>
                <w:shd w:val="clear" w:color="auto" w:fill="auto"/>
              </w:rPr>
              <w:t>需求描述</w:t>
            </w:r>
          </w:p>
        </w:tc>
      </w:tr>
      <w:tr w14:paraId="285C2E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C5C70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数据库服务器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3D33C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0BAC3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8F651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应用程序服务器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72ABA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32ABD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3E150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数据库服务器操作系统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7DA07C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62F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CBDE5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客户端浏览工具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F0E53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1DA71D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8EA9C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磁盘容量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C716B3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3E1DC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3" w:hRule="atLeast"/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0E82A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内存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CC80C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  <w:tr w14:paraId="470B7C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" w:hRule="atLeast"/>
          <w:jc w:val="center"/>
        </w:trPr>
        <w:tc>
          <w:tcPr>
            <w:tcW w:w="4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704EB">
            <w:pPr>
              <w:ind w:firstLine="420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网络环境</w:t>
            </w:r>
          </w:p>
        </w:tc>
        <w:tc>
          <w:tcPr>
            <w:tcW w:w="43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D26F04"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</w:p>
        </w:tc>
      </w:tr>
    </w:tbl>
    <w:p w14:paraId="4704BA4F">
      <w:pPr>
        <w:jc w:val="left"/>
        <w:rPr>
          <w:rFonts w:hint="eastAsia" w:ascii="仿宋" w:hAnsi="仿宋" w:eastAsia="仿宋" w:cs="仿宋"/>
          <w:sz w:val="36"/>
          <w:szCs w:val="36"/>
        </w:rPr>
      </w:pPr>
    </w:p>
    <w:p w14:paraId="61B4E88E">
      <w:pPr>
        <w:rPr>
          <w:rFonts w:hint="eastAsia" w:ascii="仿宋" w:hAnsi="仿宋" w:eastAsia="仿宋" w:cs="仿宋"/>
          <w:sz w:val="36"/>
          <w:szCs w:val="36"/>
        </w:rPr>
      </w:pPr>
    </w:p>
    <w:sectPr>
      <w:footerReference r:id="rId3" w:type="default"/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1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A935FE-93EA-468A-B692-EEC8AEC38A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2608A486-2183-44F9-90CE-E80069E8981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EF2D84B-2956-4DB5-8484-B00BAF0E002C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4" w:fontKey="{D2A43DF3-B697-45A2-B31E-004538D761C1}"/>
  </w:font>
  <w:font w:name="方正小标宋简体">
    <w:panose1 w:val="02010600010101010101"/>
    <w:charset w:val="86"/>
    <w:family w:val="auto"/>
    <w:pitch w:val="default"/>
    <w:sig w:usb0="00000001" w:usb1="080E0000" w:usb2="00000000" w:usb3="00000000" w:csb0="00040000" w:csb1="00000000"/>
    <w:embedRegular r:id="rId5" w:fontKey="{508F9051-8606-434E-8B82-1FD05EDD0B1D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  <w:embedRegular r:id="rId6" w:fontKey="{F921BDEA-7EE8-4CEF-8665-A3A12916ED04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7" w:fontKey="{0AE14E73-DAF4-445B-AFBD-158DD595D7F3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C9A433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C228A2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AC228A2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4E83D97"/>
    <w:multiLevelType w:val="multilevel"/>
    <w:tmpl w:val="14E83D97"/>
    <w:lvl w:ilvl="0" w:tentative="0">
      <w:start w:val="1"/>
      <w:numFmt w:val="decimal"/>
      <w:lvlText w:val="%1."/>
      <w:lvlJc w:val="left"/>
      <w:pPr>
        <w:ind w:left="919" w:hanging="360"/>
      </w:pPr>
      <w:rPr>
        <w:rFonts w:hint="default"/>
        <w:color w:val="auto"/>
      </w:rPr>
    </w:lvl>
    <w:lvl w:ilvl="1" w:tentative="0">
      <w:start w:val="1"/>
      <w:numFmt w:val="lowerLetter"/>
      <w:lvlText w:val="%2)"/>
      <w:lvlJc w:val="left"/>
      <w:pPr>
        <w:ind w:left="1399" w:hanging="420"/>
      </w:pPr>
    </w:lvl>
    <w:lvl w:ilvl="2" w:tentative="0">
      <w:start w:val="1"/>
      <w:numFmt w:val="lowerRoman"/>
      <w:lvlText w:val="%3."/>
      <w:lvlJc w:val="right"/>
      <w:pPr>
        <w:ind w:left="1819" w:hanging="420"/>
      </w:pPr>
    </w:lvl>
    <w:lvl w:ilvl="3" w:tentative="0">
      <w:start w:val="1"/>
      <w:numFmt w:val="decimal"/>
      <w:lvlText w:val="%4."/>
      <w:lvlJc w:val="left"/>
      <w:pPr>
        <w:ind w:left="2239" w:hanging="420"/>
      </w:pPr>
    </w:lvl>
    <w:lvl w:ilvl="4" w:tentative="0">
      <w:start w:val="1"/>
      <w:numFmt w:val="lowerLetter"/>
      <w:lvlText w:val="%5)"/>
      <w:lvlJc w:val="left"/>
      <w:pPr>
        <w:ind w:left="2659" w:hanging="420"/>
      </w:pPr>
    </w:lvl>
    <w:lvl w:ilvl="5" w:tentative="0">
      <w:start w:val="1"/>
      <w:numFmt w:val="lowerRoman"/>
      <w:lvlText w:val="%6."/>
      <w:lvlJc w:val="right"/>
      <w:pPr>
        <w:ind w:left="3079" w:hanging="420"/>
      </w:pPr>
    </w:lvl>
    <w:lvl w:ilvl="6" w:tentative="0">
      <w:start w:val="1"/>
      <w:numFmt w:val="decimal"/>
      <w:lvlText w:val="%7."/>
      <w:lvlJc w:val="left"/>
      <w:pPr>
        <w:ind w:left="3499" w:hanging="420"/>
      </w:pPr>
    </w:lvl>
    <w:lvl w:ilvl="7" w:tentative="0">
      <w:start w:val="1"/>
      <w:numFmt w:val="lowerLetter"/>
      <w:lvlText w:val="%8)"/>
      <w:lvlJc w:val="left"/>
      <w:pPr>
        <w:ind w:left="3919" w:hanging="420"/>
      </w:pPr>
    </w:lvl>
    <w:lvl w:ilvl="8" w:tentative="0">
      <w:start w:val="1"/>
      <w:numFmt w:val="lowerRoman"/>
      <w:lvlText w:val="%9."/>
      <w:lvlJc w:val="right"/>
      <w:pPr>
        <w:ind w:left="4339" w:hanging="420"/>
      </w:pPr>
    </w:lvl>
  </w:abstractNum>
  <w:abstractNum w:abstractNumId="1">
    <w:nsid w:val="4B27C5E0"/>
    <w:multiLevelType w:val="singleLevel"/>
    <w:tmpl w:val="4B27C5E0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0FEB"/>
    <w:rsid w:val="001F0FEB"/>
    <w:rsid w:val="0060313F"/>
    <w:rsid w:val="00612215"/>
    <w:rsid w:val="00757686"/>
    <w:rsid w:val="00882AA6"/>
    <w:rsid w:val="008A390A"/>
    <w:rsid w:val="00DD46FA"/>
    <w:rsid w:val="02FA082F"/>
    <w:rsid w:val="06826283"/>
    <w:rsid w:val="08444A26"/>
    <w:rsid w:val="08DC3914"/>
    <w:rsid w:val="08E753B1"/>
    <w:rsid w:val="0AD61B81"/>
    <w:rsid w:val="0B7E024F"/>
    <w:rsid w:val="0C85560D"/>
    <w:rsid w:val="12080923"/>
    <w:rsid w:val="15441760"/>
    <w:rsid w:val="170A6E3A"/>
    <w:rsid w:val="17257B4B"/>
    <w:rsid w:val="18824FD9"/>
    <w:rsid w:val="1BA94038"/>
    <w:rsid w:val="1C3861F8"/>
    <w:rsid w:val="1C7A05BE"/>
    <w:rsid w:val="1EDF15F0"/>
    <w:rsid w:val="235C6C70"/>
    <w:rsid w:val="237F1EC9"/>
    <w:rsid w:val="2BA47406"/>
    <w:rsid w:val="2DC45B3D"/>
    <w:rsid w:val="34B32468"/>
    <w:rsid w:val="39444501"/>
    <w:rsid w:val="395A55A8"/>
    <w:rsid w:val="3ACC4283"/>
    <w:rsid w:val="3DE418E4"/>
    <w:rsid w:val="3E9E0431"/>
    <w:rsid w:val="4004001B"/>
    <w:rsid w:val="43B835F7"/>
    <w:rsid w:val="446F0301"/>
    <w:rsid w:val="463F1DAD"/>
    <w:rsid w:val="4D196001"/>
    <w:rsid w:val="4E807407"/>
    <w:rsid w:val="51204589"/>
    <w:rsid w:val="530F0D59"/>
    <w:rsid w:val="53B56515"/>
    <w:rsid w:val="548C301C"/>
    <w:rsid w:val="5490445E"/>
    <w:rsid w:val="551C775D"/>
    <w:rsid w:val="579637F7"/>
    <w:rsid w:val="57D03F50"/>
    <w:rsid w:val="5B9F11BA"/>
    <w:rsid w:val="5D6B1282"/>
    <w:rsid w:val="5F371542"/>
    <w:rsid w:val="636B3D8A"/>
    <w:rsid w:val="6473293F"/>
    <w:rsid w:val="68F465CF"/>
    <w:rsid w:val="68FE744E"/>
    <w:rsid w:val="6A0D5B9B"/>
    <w:rsid w:val="6A2D7FEB"/>
    <w:rsid w:val="6A2E6B14"/>
    <w:rsid w:val="6B217424"/>
    <w:rsid w:val="6C9433F3"/>
    <w:rsid w:val="72C60FDD"/>
    <w:rsid w:val="75A47D7D"/>
    <w:rsid w:val="77493F8A"/>
    <w:rsid w:val="7755292F"/>
    <w:rsid w:val="78C23FF4"/>
    <w:rsid w:val="7DD763EB"/>
    <w:rsid w:val="7DFA3695"/>
    <w:rsid w:val="7E775881"/>
    <w:rsid w:val="7F34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Subtitle"/>
    <w:basedOn w:val="1"/>
    <w:next w:val="1"/>
    <w:qFormat/>
    <w:uiPriority w:val="11"/>
    <w:pPr>
      <w:spacing w:before="240" w:after="60" w:line="312" w:lineRule="auto"/>
      <w:jc w:val="center"/>
      <w:outlineLvl w:val="1"/>
    </w:pPr>
    <w:rPr>
      <w:rFonts w:ascii="Calibri Light" w:hAnsi="Calibri Light" w:eastAsia="宋体" w:cs="Times New Roman"/>
      <w:b/>
      <w:bCs/>
      <w:kern w:val="28"/>
      <w:sz w:val="32"/>
      <w:szCs w:val="32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customStyle="1" w:styleId="9">
    <w:name w:val="页眉 字符"/>
    <w:basedOn w:val="8"/>
    <w:link w:val="3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7" Type="http://schemas.openxmlformats.org/officeDocument/2006/relationships/font" Target="fonts/font7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25</Pages>
  <Words>2664</Words>
  <Characters>2819</Characters>
  <Lines>8</Lines>
  <Paragraphs>2</Paragraphs>
  <TotalTime>10</TotalTime>
  <ScaleCrop>false</ScaleCrop>
  <LinksUpToDate>false</LinksUpToDate>
  <CharactersWithSpaces>2851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2025-07-14T15:32:00Z</dcterms:created>
  <dc:creator>Adm</dc:creator>
  <cp:lastModifiedBy>胡文娟</cp:lastModifiedBy>
  <cp:lastPrinted>2025-07-24T01:43:00Z</cp:lastPrinted>
  <dcterms:modified xsi:type="dcterms:W3CDTF">2025-07-28T01:41:25Z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eyJoZGlkIjoiZDUyOWMwNWExMDI1OTZlM2E2NDVmZDQyMDdhNjIwZDQiLCJ1c2VySWQiOiI0NDcyNDA2MDkifQ==</vt:lpwstr>
  </property>
  <property fmtid="{D5CDD505-2E9C-101B-9397-08002B2CF9AE}" pid="3" name="KSOProductBuildVer">
    <vt:lpwstr>2052-12.1.0.21915</vt:lpwstr>
  </property>
  <property fmtid="{D5CDD505-2E9C-101B-9397-08002B2CF9AE}" pid="4" name="ICV">
    <vt:lpwstr>6831CBE2DD5346B2AC50C9DD5D90B733_13</vt:lpwstr>
  </property>
</Properties>
</file>